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44E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年度部门整体支出绩效评价基础数据表</w:t>
      </w:r>
    </w:p>
    <w:p w14:paraId="0E6A2D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tbl>
      <w:tblPr>
        <w:tblStyle w:val="2"/>
        <w:tblW w:w="97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4"/>
        <w:gridCol w:w="1199"/>
        <w:gridCol w:w="857"/>
        <w:gridCol w:w="1139"/>
        <w:gridCol w:w="1121"/>
        <w:gridCol w:w="1090"/>
        <w:gridCol w:w="969"/>
      </w:tblGrid>
      <w:tr w14:paraId="01FD0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21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DF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53D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54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474CF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3E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FF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96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12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85.71%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66108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394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3FAC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7E39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DE6E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2B746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B2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“三公”经费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C647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16B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11F8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0C490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C4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公务用车购置和维护经费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563A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0306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FECF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06AFA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9B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其中：公车购置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A531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7999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C27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236B9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61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  公车运行维护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FA0F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4BB4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0D5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0D792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91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出国经费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1ABD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AFBF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1042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500A0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0D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公务接待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EDE3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661B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517E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479EA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DF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687A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289.38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F285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249.9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3DEF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248.84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286A4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98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业务工作经费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F1D9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285.38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389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249.9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F292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248.84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7045E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9F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运行维护经费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590C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3780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E591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220C1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EE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本级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C5D5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6F61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4A2A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1ED04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C7B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61E4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FF2C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2AA3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265B3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C6B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C10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10.95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8568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15.51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5346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15.51</w:t>
            </w:r>
          </w:p>
        </w:tc>
      </w:tr>
      <w:tr w14:paraId="1ED80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40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A186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5.58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9B01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8.18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87E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8.18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576F4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181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36A9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C2E4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230D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1BED7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8B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E46E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1.04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B879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0.3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4D9A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0.3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62874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8F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7055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CDE4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2FFB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6E1BC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A11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C0F7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DCC3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50D6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23603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33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56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72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34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D0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EC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BB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E13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239D4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D3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F5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2E3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322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58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618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D16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3CC6A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AC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279F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 w14:paraId="5A7C6F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left="660" w:hanging="660" w:hangingChars="300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81973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58D65034"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杨亭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2026-4-9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5221201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A91B8B4-FA7D-488D-B39E-1C54725A33A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84BA342-C557-449D-862C-F662E9E77BA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EFD2800-15A3-46F7-B0FC-1DCF1ABF9A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628B5"/>
    <w:rsid w:val="3D9A44D9"/>
    <w:rsid w:val="402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467</Characters>
  <Lines>0</Lines>
  <Paragraphs>0</Paragraphs>
  <TotalTime>4</TotalTime>
  <ScaleCrop>false</ScaleCrop>
  <LinksUpToDate>false</LinksUpToDate>
  <CharactersWithSpaces>587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2026-04-14T10:11:00Z</dcterms:created>
  <dc:creator>Administrator</dc:creator>
  <cp:lastModifiedBy>哞哞｀</cp:lastModifiedBy>
  <dcterms:modified xsi:type="dcterms:W3CDTF">2026-04-14T10:37:46Z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eyJoZGlkIjoiZTRlZThjN2M4YTVjYThmNGRhMjFmMTUyYjA2MWRiMDAiLCJ1c2VySWQiOiIzNDM2ODUwMjcifQ==</vt:lpwstr>
  </property>
  <property fmtid="{D5CDD505-2E9C-101B-9397-08002B2CF9AE}" pid="4" name="ICV">
    <vt:lpwstr>D81CDE79F1DA4570ADF3B390545A455B_12</vt:lpwstr>
  </property>
</Properties>
</file>