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567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2"/>
        <w:tblW w:w="101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79"/>
        <w:gridCol w:w="1042"/>
        <w:gridCol w:w="1271"/>
        <w:gridCol w:w="1311"/>
        <w:gridCol w:w="1270"/>
        <w:gridCol w:w="714"/>
        <w:gridCol w:w="873"/>
        <w:gridCol w:w="1480"/>
      </w:tblGrid>
      <w:tr w14:paraId="476D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8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预算部门名称</w:t>
            </w:r>
          </w:p>
        </w:tc>
        <w:tc>
          <w:tcPr>
            <w:tcW w:w="9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5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南县投资促进服务中心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A2B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0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4AF3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3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6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5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52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2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C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4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5613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9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3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122.45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0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393.86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6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392.81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0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C0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99.73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A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9.97</w:t>
            </w:r>
          </w:p>
        </w:tc>
      </w:tr>
      <w:tr w14:paraId="2BB0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3D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99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39E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5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378.66</w:t>
            </w:r>
          </w:p>
        </w:tc>
        <w:tc>
          <w:tcPr>
            <w:tcW w:w="4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143.97</w:t>
            </w:r>
          </w:p>
        </w:tc>
      </w:tr>
      <w:tr w14:paraId="553E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D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0D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248.84</w:t>
            </w:r>
          </w:p>
        </w:tc>
      </w:tr>
      <w:tr w14:paraId="3AE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E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8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3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7D4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66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6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15.20</w:t>
            </w:r>
          </w:p>
        </w:tc>
        <w:tc>
          <w:tcPr>
            <w:tcW w:w="4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4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8FD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8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B07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C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C8E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40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E56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根据部门职责范围，严格执行预算安排。</w:t>
            </w:r>
          </w:p>
          <w:p w14:paraId="4517D3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保障单位正常运转。</w:t>
            </w:r>
          </w:p>
          <w:p w14:paraId="0E134D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完成市对县考核目标任务。</w:t>
            </w:r>
          </w:p>
          <w:p w14:paraId="428F2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完善招商引资机制，举办招商引资推介活动，提升企业吸引力，促进县区经济发展。</w:t>
            </w: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D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2025年，全年共签约项目41个，合同引资额48.01亿元。湘商回归新注册企业16家，湘商回归累计到位资金16.72亿元，引进重大项目8个，落户“三类500强”项目3家，实际到位外资115.5万美元。</w:t>
            </w:r>
          </w:p>
        </w:tc>
      </w:tr>
      <w:tr w14:paraId="6581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2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339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1FA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31C2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489F6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28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8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5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C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BD6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9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A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35EB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E7B71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F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64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引进项目数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5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B9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D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0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75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0B6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60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C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6C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87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实际利用外资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1B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58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115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4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5E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0C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8A6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35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0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2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D3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完成年度目标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8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9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3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E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3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3E3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3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6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6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6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经费发放及时率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F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6F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C0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7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8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40C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8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1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2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D5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4A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6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99.73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2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4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E4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D9B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5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D1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2F88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0E63F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09FE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8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9C119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97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7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5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29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9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E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6F9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A2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D8F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75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6488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F8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单位正常运转需要保障水平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A1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应保尽保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A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正常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A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1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D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2BC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2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6CC9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B0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053C5B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A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C6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EE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21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D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3F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B34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F2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27B3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BE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5C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AC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23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B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F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B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D4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C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EF2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5766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B5FE2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9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3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投资商满意度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0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3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2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3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D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6F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53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9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99.97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B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4179E0AC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549BA01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D90D174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5327258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杨亭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填报日期：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2026-4-9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5221201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00273A-B56E-493D-94B7-29FB8C59D0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360598B-5564-4573-BFD7-56D1F644C8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07D7160-5DF1-4B7B-9CEC-EF4AED3062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46FD7"/>
    <w:rsid w:val="7560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312</Characters>
  <Lines>0</Lines>
  <Paragraphs>0</Paragraphs>
  <TotalTime>16</TotalTime>
  <ScaleCrop>false</ScaleCrop>
  <LinksUpToDate>false</LinksUpToDate>
  <CharactersWithSpaces>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2026-04-14T10:12:00Z</dcterms:created>
  <dc:creator>Administrator</dc:creator>
  <cp:lastModifiedBy>哞哞｀</cp:lastModifiedBy>
  <dcterms:modified xsi:type="dcterms:W3CDTF">2026-04-14T10:37:00Z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eyJoZGlkIjoiZTRlZThjN2M4YTVjYThmNGRhMjFmMTUyYjA2MWRiMDAiLCJ1c2VySWQiOiIzNDM2ODUwMjcifQ==</vt:lpwstr>
  </property>
  <property fmtid="{D5CDD505-2E9C-101B-9397-08002B2CF9AE}" pid="4" name="ICV">
    <vt:lpwstr>109007D3CE804954830C417374823350_12</vt:lpwstr>
  </property>
</Properties>
</file>