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551DCE">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附件1</w:t>
      </w:r>
    </w:p>
    <w:p w14:paraId="665D4891">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b w:val="0"/>
          <w:bCs w:val="0"/>
          <w:sz w:val="44"/>
          <w:szCs w:val="44"/>
          <w:lang w:eastAsia="zh-CN"/>
        </w:rPr>
      </w:pPr>
      <w:bookmarkStart w:id="0" w:name="_GoBack"/>
      <w:r>
        <w:rPr>
          <w:rFonts w:hint="eastAsia" w:ascii="方正小标宋简体" w:hAnsi="方正小标宋简体" w:eastAsia="方正小标宋简体" w:cs="方正小标宋简体"/>
          <w:b w:val="0"/>
          <w:bCs w:val="0"/>
          <w:sz w:val="44"/>
          <w:szCs w:val="44"/>
          <w:lang w:val="en-US" w:eastAsia="zh-CN"/>
        </w:rPr>
        <w:t>南县2026-2027学年</w:t>
      </w:r>
      <w:r>
        <w:rPr>
          <w:rFonts w:hint="eastAsia" w:ascii="方正小标宋简体" w:hAnsi="方正小标宋简体" w:eastAsia="方正小标宋简体" w:cs="方正小标宋简体"/>
          <w:b w:val="0"/>
          <w:bCs w:val="0"/>
          <w:sz w:val="44"/>
          <w:szCs w:val="44"/>
          <w:lang w:eastAsia="zh-CN"/>
        </w:rPr>
        <w:t>学校食堂</w:t>
      </w:r>
    </w:p>
    <w:p w14:paraId="39AC7AED">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大宗食材集中采购邀请供应商入驻平台的</w:t>
      </w:r>
    </w:p>
    <w:p w14:paraId="1CBAAD55">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公</w:t>
      </w:r>
      <w:r>
        <w:rPr>
          <w:rFonts w:hint="eastAsia" w:ascii="方正小标宋简体" w:hAnsi="方正小标宋简体" w:eastAsia="方正小标宋简体" w:cs="方正小标宋简体"/>
          <w:b w:val="0"/>
          <w:bCs w:val="0"/>
          <w:sz w:val="44"/>
          <w:szCs w:val="44"/>
          <w:lang w:val="en-US" w:eastAsia="zh-CN"/>
        </w:rPr>
        <w:t xml:space="preserve">  </w:t>
      </w:r>
      <w:r>
        <w:rPr>
          <w:rFonts w:hint="eastAsia" w:ascii="方正小标宋简体" w:hAnsi="方正小标宋简体" w:eastAsia="方正小标宋简体" w:cs="方正小标宋简体"/>
          <w:b w:val="0"/>
          <w:bCs w:val="0"/>
          <w:sz w:val="44"/>
          <w:szCs w:val="44"/>
          <w:lang w:eastAsia="zh-CN"/>
        </w:rPr>
        <w:t>告</w:t>
      </w:r>
    </w:p>
    <w:bookmarkEnd w:id="0"/>
    <w:p w14:paraId="61F121E2">
      <w:pPr>
        <w:pStyle w:val="2"/>
        <w:keepNext w:val="0"/>
        <w:keepLines w:val="0"/>
        <w:pageBreakBefore w:val="0"/>
        <w:kinsoku/>
        <w:wordWrap/>
        <w:overflowPunct/>
        <w:topLinePunct w:val="0"/>
        <w:autoSpaceDE/>
        <w:autoSpaceDN/>
        <w:bidi w:val="0"/>
        <w:adjustRightInd/>
        <w:snapToGrid/>
        <w:spacing w:line="570" w:lineRule="exact"/>
        <w:textAlignment w:val="auto"/>
        <w:rPr>
          <w:rFonts w:hint="eastAsia" w:ascii="方正仿宋_GB2312" w:hAnsi="方正仿宋_GB2312" w:eastAsia="方正仿宋_GB2312" w:cs="方正仿宋_GB2312"/>
          <w:sz w:val="32"/>
          <w:szCs w:val="32"/>
          <w:lang w:eastAsia="zh-CN"/>
        </w:rPr>
      </w:pPr>
    </w:p>
    <w:p w14:paraId="1A0DE39F">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进一步规范全县各级各类公办学校、幼儿园食堂食材采购平台供应商管理工作，防范采购风险、稳定食材价格、保障食材质量，实现食堂食材采购公开化、规范化、常态化管理。南县教育局决定开展南县中小学全县学校食堂大宗食材集中采购供应商公开入驻征集工作。凡符合资质条件、具备履约能力的食材供应经营主体，均可自愿报名，经审查考核后符合条件的入驻南县教育局朝阳集采平台，纳入南县中小学食堂食材供应商库。现将有关事项公告如下：</w:t>
      </w:r>
    </w:p>
    <w:p w14:paraId="76DE740D">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一、总体说明</w:t>
      </w:r>
    </w:p>
    <w:p w14:paraId="4FA36195">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eastAsia" w:ascii="方正楷体_GBK" w:hAnsi="方正楷体_GBK" w:eastAsia="方正楷体_GBK" w:cs="方正楷体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（一）采购项目</w:t>
      </w:r>
    </w:p>
    <w:p w14:paraId="58C6FDE7">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本项目为南县公办中小学、公办幼儿园食堂大宗食材集中采购入驻服务项目。</w:t>
      </w:r>
    </w:p>
    <w:p w14:paraId="455372C8">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eastAsia" w:ascii="方正楷体_GBK" w:hAnsi="方正楷体_GBK" w:eastAsia="方正楷体_GBK" w:cs="方正楷体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（二）准入方式</w:t>
      </w:r>
    </w:p>
    <w:p w14:paraId="03132123">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本次供应商入驻采用公开征集、自愿申报、资质审核、现场核查、综合评审的方式进行。</w:t>
      </w:r>
    </w:p>
    <w:p w14:paraId="42602BF1">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eastAsia" w:ascii="方正楷体_GBK" w:hAnsi="方正楷体_GBK" w:eastAsia="方正楷体_GBK" w:cs="方正楷体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（三）实施范围</w:t>
      </w:r>
    </w:p>
    <w:p w14:paraId="46F9C4F2">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南县辖区内所有公办中小学、幼儿园食堂大宗食材采购配送工作。</w:t>
      </w:r>
    </w:p>
    <w:p w14:paraId="28EAC558">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eastAsia" w:ascii="方正楷体_GBK" w:hAnsi="方正楷体_GBK" w:eastAsia="方正楷体_GBK" w:cs="方正楷体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（四）采购平台</w:t>
      </w:r>
    </w:p>
    <w:p w14:paraId="2509CDCB">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南县教育局朝阳集采平台（唯一线上采购、下单、竞价、溯源、监管平台），所有食材采购、交易、对账、考核均通过平台线上完成，严禁线下私自采购、线下交易结算。</w:t>
      </w:r>
    </w:p>
    <w:p w14:paraId="1DAFA3FD">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eastAsia" w:ascii="方正楷体_GBK" w:hAnsi="方正楷体_GBK" w:eastAsia="方正楷体_GBK" w:cs="方正楷体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（五）采购品类</w:t>
      </w:r>
    </w:p>
    <w:p w14:paraId="7271BB8E">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本次平台集中采购涵盖校园食堂十二大类大宗食品，入驻经营主体可根据自身经营资质、仓储配送能力自愿申报。其中，大米类、新鲜猪肉类、冷冻类、学生饮用奶（学字号）类为专项品类，只招募专品类供应商，其它类供货商自愿申报上述其他1-3类食材供应资质，所有申报品类均需经资质审核、现场核查综合通过后，方可在对应获批品类范围内开展供货服务，严禁超品类、超资质范围经营供货。各品类实行分品类独立审核、独立准入、独立考核：</w:t>
      </w:r>
    </w:p>
    <w:p w14:paraId="2D19BA48">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1. 大米类：一级大米等制品；</w:t>
      </w:r>
    </w:p>
    <w:p w14:paraId="566AAE81">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2. 生鲜猪肉类：新鲜正规屠宰猪肉及排骨、骨头、猪脚、猪血等，全程冷链保鲜；</w:t>
      </w:r>
    </w:p>
    <w:p w14:paraId="2AB70A35">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3. 生鲜牛羊肉类：新鲜正规屠宰牛肉、羊肉，资质齐全、检疫合格、新鲜度达标，适配校园供餐标准；</w:t>
      </w:r>
    </w:p>
    <w:p w14:paraId="4C508EEC">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4. 生鲜家禽类：新鲜鸡、鸭鹅等生鲜家禽鲜肉，正规屠宰、检疫齐全；</w:t>
      </w:r>
    </w:p>
    <w:p w14:paraId="776DF37E">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5. 水（海）产品类：各类新鲜淡水鱼及水产制品，含合规冷藏水产食材；</w:t>
      </w:r>
    </w:p>
    <w:p w14:paraId="7672B335">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6. 豆制品类：鲜豆腐、香干、豆皮等各类新鲜、合规豆制品；</w:t>
      </w:r>
    </w:p>
    <w:p w14:paraId="635E5033">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7. 调味品油类：食用油盐酱醋、酱料、香料、干货佐料、预包装调味品等合规食用调味食材；菜籽油等成品食用植物油；面粉类；干货类（如干香菇、干墨鱼、腐竹）；蛋及蛋制品类：新鲜鸡蛋及合规预包装蛋制品等校园安全准入蛋品；</w:t>
      </w:r>
    </w:p>
    <w:p w14:paraId="24EC941E">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8. 冷冻产品类：合规冷冻畜禽制品、冷冻水产；</w:t>
      </w:r>
    </w:p>
    <w:p w14:paraId="7C0BD30D">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9. 面制早餐类：馒头、包子、米粉、面条、速冻早点、预包装安全早餐食材，符合校园食品安全准入标准；</w:t>
      </w:r>
    </w:p>
    <w:p w14:paraId="4F5B1740">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10. 水果类：各类新鲜时令水果、精品常规水果；</w:t>
      </w:r>
    </w:p>
    <w:p w14:paraId="5D0529FB">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11. 蔬菜类：各类时令新鲜绿叶蔬菜、根茎类蔬菜、茄果类、菌菇类等生鲜蔬菜；</w:t>
      </w:r>
    </w:p>
    <w:p w14:paraId="74FEBD06">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12.学生饮用奶（学字号）类： 取得国家 “学” 字号标识、专供学生饮用的牛奶。</w:t>
      </w:r>
    </w:p>
    <w:p w14:paraId="6663D8B7">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eastAsia" w:ascii="方正楷体_GBK" w:hAnsi="方正楷体_GBK" w:eastAsia="方正楷体_GBK" w:cs="方正楷体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（六）专项品类准入要求</w:t>
      </w:r>
    </w:p>
    <w:p w14:paraId="6ACDABCF">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1. 大米类供应商</w:t>
      </w:r>
      <w:r>
        <w:rPr>
          <w:rFonts w:hint="eastAsia" w:ascii="方正仿宋_GB2312" w:hAnsi="方正仿宋_GB2312" w:eastAsia="方正仿宋_GB2312" w:cs="方正仿宋_GB2312"/>
          <w:kern w:val="2"/>
          <w:sz w:val="32"/>
          <w:szCs w:val="32"/>
          <w:lang w:val="en-US" w:eastAsia="zh-CN" w:bidi="ar-SA"/>
        </w:rPr>
        <w:t>：</w:t>
      </w:r>
    </w:p>
    <w:p w14:paraId="700DEC48">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拥有正规大米生产厂家长期合作协议或自有生产基地，仓储具备防潮、防虫、防鼠、通风设施，可常态化提供批次质检报告、出厂合格证明，保障主粮食材品质稳定。</w:t>
      </w:r>
    </w:p>
    <w:p w14:paraId="6C57F208">
      <w:pPr>
        <w:keepNext w:val="0"/>
        <w:keepLines w:val="0"/>
        <w:widowControl/>
        <w:suppressLineNumbers w:val="0"/>
        <w:ind w:firstLine="643" w:firstLineChars="200"/>
        <w:jc w:val="left"/>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2. 生鲜猪肉类供应商：</w:t>
      </w:r>
    </w:p>
    <w:p w14:paraId="695DB85B">
      <w:pPr>
        <w:keepNext w:val="0"/>
        <w:keepLines w:val="0"/>
        <w:widowControl/>
        <w:suppressLineNumbers w:val="0"/>
        <w:ind w:firstLine="640" w:firstLineChars="200"/>
        <w:jc w:val="left"/>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对接正规定点屠宰经营主体，每日提供动物检疫合格证明、肉品品质检验合格证，全程可溯源，配备有冷藏运输资质、定期消毒的专用车辆。</w:t>
      </w:r>
    </w:p>
    <w:p w14:paraId="28DAB25D">
      <w:pPr>
        <w:pStyle w:val="2"/>
        <w:ind w:firstLine="643" w:firstLineChars="200"/>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3. 冷冻类供应商：</w:t>
      </w:r>
    </w:p>
    <w:p w14:paraId="165695C4">
      <w:pPr>
        <w:keepNext w:val="0"/>
        <w:keepLines w:val="0"/>
        <w:widowControl/>
        <w:suppressLineNumbers w:val="0"/>
        <w:ind w:firstLine="640" w:firstLineChars="200"/>
        <w:jc w:val="left"/>
        <w:rPr>
          <w:rFonts w:hint="eastAsia"/>
          <w:lang w:val="en-US" w:eastAsia="zh-CN"/>
        </w:rPr>
      </w:pPr>
      <w:r>
        <w:rPr>
          <w:rFonts w:hint="eastAsia" w:ascii="方正仿宋_GB2312" w:hAnsi="方正仿宋_GB2312" w:eastAsia="方正仿宋_GB2312" w:cs="方正仿宋_GB2312"/>
          <w:kern w:val="2"/>
          <w:sz w:val="32"/>
          <w:szCs w:val="32"/>
          <w:lang w:val="en-US" w:eastAsia="zh-CN" w:bidi="ar-SA"/>
        </w:rPr>
        <w:t>持有合法有效的营业执照、具备冷冻食品仓储、运输相关资质，货源来自合法资质生产企业或正规经销商，提供每批次冷冻食品的第三方质检报告、出厂合格证明及生产日期、保质期证明，建立完善出入库台账。</w:t>
      </w:r>
    </w:p>
    <w:p w14:paraId="60D84D89">
      <w:pPr>
        <w:keepNext w:val="0"/>
        <w:keepLines w:val="0"/>
        <w:widowControl/>
        <w:numPr>
          <w:ilvl w:val="0"/>
          <w:numId w:val="0"/>
        </w:numPr>
        <w:suppressLineNumbers w:val="0"/>
        <w:ind w:firstLine="643" w:firstLineChars="200"/>
        <w:jc w:val="left"/>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4.学生饮用奶（学字号）类：</w:t>
      </w:r>
      <w:r>
        <w:rPr>
          <w:rFonts w:hint="eastAsia" w:ascii="方正仿宋_GB2312" w:hAnsi="方正仿宋_GB2312" w:eastAsia="方正仿宋_GB2312" w:cs="方正仿宋_GB2312"/>
          <w:kern w:val="2"/>
          <w:sz w:val="32"/>
          <w:szCs w:val="32"/>
          <w:lang w:val="en-US" w:eastAsia="zh-CN" w:bidi="ar-SA"/>
        </w:rPr>
        <w:t xml:space="preserve"> </w:t>
      </w:r>
    </w:p>
    <w:p w14:paraId="6DE9681C">
      <w:pPr>
        <w:keepNext w:val="0"/>
        <w:keepLines w:val="0"/>
        <w:widowControl/>
        <w:numPr>
          <w:ilvl w:val="0"/>
          <w:numId w:val="0"/>
        </w:numPr>
        <w:suppressLineNumbers w:val="0"/>
        <w:ind w:firstLine="640" w:firstLineChars="200"/>
        <w:jc w:val="left"/>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取得国家 “学” 字号标识、专供学生饮用的牛奶。持有合法有效的营业执照、食品生产（或经营）许可证，经营范围包含学生饮用奶生产、销售、配送相关业务。</w:t>
      </w:r>
    </w:p>
    <w:p w14:paraId="114170D1">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eastAsia" w:ascii="方正楷体_GBK" w:hAnsi="方正楷体_GBK" w:eastAsia="方正楷体_GBK" w:cs="方正楷体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（七）采购模式</w:t>
      </w:r>
    </w:p>
    <w:p w14:paraId="4EA896DC">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实行“平台入驻、名录准入、学校下单、线上竞价、均价入选、统一配送、全程监管”的集中采购模式，全程接受教育、市监、纪检部门及社会公众监督。</w:t>
      </w:r>
    </w:p>
    <w:p w14:paraId="3AC89D70">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二、供应商准入资格条件</w:t>
      </w:r>
    </w:p>
    <w:p w14:paraId="2B91CBF8">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本次征集仅接受具备法人资格的合法经营主体申报，所有准入条件均为硬性指标，缺一不可。</w:t>
      </w:r>
    </w:p>
    <w:p w14:paraId="3673A901">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eastAsia" w:ascii="方正楷体_GBK" w:hAnsi="方正楷体_GBK" w:eastAsia="方正楷体_GBK" w:cs="方正楷体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（一）准入条件</w:t>
      </w:r>
    </w:p>
    <w:p w14:paraId="5199206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方正仿宋_GB2312" w:hAnsi="方正仿宋_GB2312" w:eastAsia="方正仿宋_GB2312" w:cs="方正仿宋_GB2312"/>
          <w:color w:val="1F2329"/>
          <w:sz w:val="32"/>
          <w:szCs w:val="32"/>
        </w:rPr>
      </w:pPr>
      <w:r>
        <w:rPr>
          <w:rFonts w:hint="eastAsia" w:ascii="方正仿宋_GB2312" w:hAnsi="方正仿宋_GB2312" w:eastAsia="方正仿宋_GB2312" w:cs="方正仿宋_GB2312"/>
          <w:kern w:val="2"/>
          <w:sz w:val="32"/>
          <w:szCs w:val="32"/>
          <w:lang w:val="en-US" w:eastAsia="zh-CN" w:bidi="ar-SA"/>
        </w:rPr>
        <w:t xml:space="preserve">1. </w:t>
      </w:r>
      <w:r>
        <w:rPr>
          <w:rStyle w:val="6"/>
          <w:rFonts w:hint="eastAsia" w:ascii="方正仿宋_GB2312" w:hAnsi="方正仿宋_GB2312" w:eastAsia="方正仿宋_GB2312" w:cs="方正仿宋_GB2312"/>
          <w:color w:val="1F2329"/>
          <w:kern w:val="0"/>
          <w:sz w:val="32"/>
          <w:szCs w:val="32"/>
          <w:lang w:val="en-US" w:eastAsia="zh-CN" w:bidi="ar"/>
        </w:rPr>
        <w:t>主体资质合法，具备独立民事责任能力</w:t>
      </w:r>
      <w:r>
        <w:rPr>
          <w:rFonts w:hint="eastAsia" w:ascii="方正仿宋_GB2312" w:hAnsi="方正仿宋_GB2312" w:eastAsia="方正仿宋_GB2312" w:cs="方正仿宋_GB2312"/>
          <w:color w:val="1F2329"/>
          <w:kern w:val="0"/>
          <w:sz w:val="32"/>
          <w:szCs w:val="32"/>
          <w:lang w:val="en-US" w:eastAsia="zh-CN" w:bidi="ar"/>
        </w:rPr>
        <w:t xml:space="preserve"> 持有有效营业执照，经营范围覆盖对应食材品类；自产食材配套《食品生产许可证》；食用农产品经销按规定完成备案，无挂靠、转包经营情形，可独立承担食品安全赔偿与合同违约责任。</w:t>
      </w:r>
    </w:p>
    <w:p w14:paraId="7F4F4F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2312" w:hAnsi="方正仿宋_GB2312" w:eastAsia="方正仿宋_GB2312" w:cs="方正仿宋_GB2312"/>
          <w:color w:val="1F2329"/>
          <w:kern w:val="0"/>
          <w:sz w:val="32"/>
          <w:szCs w:val="32"/>
          <w:lang w:val="en-US" w:eastAsia="zh-CN" w:bidi="ar"/>
        </w:rPr>
      </w:pPr>
      <w:r>
        <w:rPr>
          <w:rFonts w:hint="eastAsia" w:ascii="方正仿宋_GB2312" w:hAnsi="方正仿宋_GB2312" w:eastAsia="方正仿宋_GB2312" w:cs="方正仿宋_GB2312"/>
          <w:kern w:val="2"/>
          <w:sz w:val="32"/>
          <w:szCs w:val="32"/>
          <w:lang w:val="en-US" w:eastAsia="zh-CN" w:bidi="ar-SA"/>
        </w:rPr>
        <w:t xml:space="preserve">2. </w:t>
      </w:r>
      <w:r>
        <w:rPr>
          <w:rStyle w:val="6"/>
          <w:rFonts w:hint="eastAsia" w:ascii="方正仿宋_GB2312" w:hAnsi="方正仿宋_GB2312" w:eastAsia="方正仿宋_GB2312" w:cs="方正仿宋_GB2312"/>
          <w:color w:val="1F2329"/>
          <w:kern w:val="0"/>
          <w:sz w:val="32"/>
          <w:szCs w:val="32"/>
          <w:lang w:val="en-US" w:eastAsia="zh-CN" w:bidi="ar"/>
        </w:rPr>
        <w:t>信用与安全记录无重大不良污点。</w:t>
      </w:r>
      <w:r>
        <w:rPr>
          <w:rFonts w:hint="eastAsia" w:ascii="方正仿宋_GB2312" w:hAnsi="方正仿宋_GB2312" w:eastAsia="方正仿宋_GB2312" w:cs="方正仿宋_GB2312"/>
          <w:color w:val="1F2329"/>
          <w:kern w:val="0"/>
          <w:sz w:val="32"/>
          <w:szCs w:val="32"/>
          <w:lang w:val="en-US" w:eastAsia="zh-CN" w:bidi="ar"/>
        </w:rPr>
        <w:t xml:space="preserve"> 能提供经营主体的市场信用证明，法定代表人未列入严重违法失信名单。</w:t>
      </w:r>
    </w:p>
    <w:p w14:paraId="27281B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方正仿宋_GB2312" w:hAnsi="方正仿宋_GB2312" w:eastAsia="方正仿宋_GB2312" w:cs="方正仿宋_GB2312"/>
          <w:color w:val="1F2329"/>
          <w:kern w:val="0"/>
          <w:sz w:val="32"/>
          <w:szCs w:val="32"/>
          <w:lang w:val="en-US" w:eastAsia="zh-CN" w:bidi="ar"/>
        </w:rPr>
      </w:pPr>
      <w:r>
        <w:rPr>
          <w:rFonts w:hint="eastAsia" w:ascii="方正仿宋_GB2312" w:hAnsi="方正仿宋_GB2312" w:eastAsia="方正仿宋_GB2312" w:cs="方正仿宋_GB2312"/>
          <w:kern w:val="2"/>
          <w:sz w:val="32"/>
          <w:szCs w:val="32"/>
          <w:lang w:val="en-US" w:eastAsia="zh-CN" w:bidi="ar-SA"/>
        </w:rPr>
        <w:t xml:space="preserve">3. </w:t>
      </w:r>
      <w:r>
        <w:rPr>
          <w:rStyle w:val="6"/>
          <w:rFonts w:hint="eastAsia" w:ascii="方正仿宋_GB2312" w:hAnsi="方正仿宋_GB2312" w:eastAsia="方正仿宋_GB2312" w:cs="方正仿宋_GB2312"/>
          <w:color w:val="1F2329"/>
          <w:kern w:val="0"/>
          <w:sz w:val="32"/>
          <w:szCs w:val="32"/>
          <w:lang w:val="en-US" w:eastAsia="zh-CN" w:bidi="ar"/>
        </w:rPr>
        <w:t>场地、检测与仓储分拣硬件达标。</w:t>
      </w:r>
      <w:r>
        <w:rPr>
          <w:rFonts w:hint="eastAsia" w:ascii="方正仿宋_GB2312" w:hAnsi="方正仿宋_GB2312" w:eastAsia="方正仿宋_GB2312" w:cs="方正仿宋_GB2312"/>
          <w:color w:val="1F2329"/>
          <w:kern w:val="0"/>
          <w:sz w:val="32"/>
          <w:szCs w:val="32"/>
          <w:lang w:val="en-US" w:eastAsia="zh-CN" w:bidi="ar"/>
        </w:rPr>
        <w:t xml:space="preserve"> 拥有固定、合规独立仓储分拣场地，分区划分生熟、荤素、干湿存放区域；配套专用冷藏、冷冻、保鲜设施；能自主完成每批次食材进场自检并留存完整检测记录的优先考虑。</w:t>
      </w:r>
    </w:p>
    <w:p w14:paraId="1D4E99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 xml:space="preserve">4. </w:t>
      </w:r>
      <w:r>
        <w:rPr>
          <w:rStyle w:val="6"/>
          <w:rFonts w:hint="eastAsia" w:ascii="方正仿宋_GB2312" w:hAnsi="方正仿宋_GB2312" w:eastAsia="方正仿宋_GB2312" w:cs="方正仿宋_GB2312"/>
          <w:color w:val="1F2329"/>
          <w:kern w:val="0"/>
          <w:sz w:val="32"/>
          <w:szCs w:val="32"/>
          <w:lang w:val="en-US" w:eastAsia="zh-CN" w:bidi="ar"/>
        </w:rPr>
        <w:t>专业冷链配送运力完备可追溯。</w:t>
      </w:r>
      <w:r>
        <w:rPr>
          <w:rFonts w:hint="eastAsia" w:ascii="方正仿宋_GB2312" w:hAnsi="方正仿宋_GB2312" w:eastAsia="方正仿宋_GB2312" w:cs="方正仿宋_GB2312"/>
          <w:color w:val="1F2329"/>
          <w:kern w:val="0"/>
          <w:sz w:val="32"/>
          <w:szCs w:val="32"/>
          <w:lang w:val="en-US" w:eastAsia="zh-CN" w:bidi="ar"/>
        </w:rPr>
        <w:t>配备封闭式专用食品配送车辆，生鲜、肉类、蛋奶分车或分区冷链运输，车辆安装定位轨迹监控、车厢视频监控；车辆定期消杀登记，全程温控可记录；具备覆盖全县中小学同步配送的时效保障能力，配送台账、行车轨迹、温控数据留存不少于 30 天。</w:t>
      </w:r>
    </w:p>
    <w:p w14:paraId="04F62E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方正仿宋_GB2312" w:hAnsi="方正仿宋_GB2312" w:eastAsia="方正仿宋_GB2312" w:cs="方正仿宋_GB2312"/>
          <w:color w:val="1F2329"/>
          <w:sz w:val="32"/>
          <w:szCs w:val="32"/>
        </w:rPr>
      </w:pPr>
      <w:r>
        <w:rPr>
          <w:rStyle w:val="6"/>
          <w:rFonts w:hint="eastAsia" w:ascii="方正仿宋_GB2312" w:hAnsi="方正仿宋_GB2312" w:eastAsia="方正仿宋_GB2312" w:cs="方正仿宋_GB2312"/>
          <w:color w:val="1F2329"/>
          <w:kern w:val="0"/>
          <w:sz w:val="32"/>
          <w:szCs w:val="32"/>
          <w:lang w:val="en-US" w:eastAsia="zh-CN" w:bidi="ar"/>
        </w:rPr>
        <w:t>5.健全全链条食品安全管控与溯源体系。</w:t>
      </w:r>
      <w:r>
        <w:rPr>
          <w:rFonts w:hint="eastAsia" w:ascii="方正仿宋_GB2312" w:hAnsi="方正仿宋_GB2312" w:eastAsia="方正仿宋_GB2312" w:cs="方正仿宋_GB2312"/>
          <w:color w:val="1F2329"/>
          <w:kern w:val="0"/>
          <w:sz w:val="32"/>
          <w:szCs w:val="32"/>
          <w:lang w:val="en-US" w:eastAsia="zh-CN" w:bidi="ar"/>
        </w:rPr>
        <w:t xml:space="preserve"> 建立采购索证索票、进货查验、库存管理、不合格食材销毁、废弃物处置、应急预案全套管理制度；搭建完整食材追溯系统，源头种养基地、生产厂家、批次检测报告、自测记录、出库配送、学校签收信息一一对应，实现来源可查、去向可追、责任可究。</w:t>
      </w:r>
    </w:p>
    <w:p w14:paraId="0B495D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方正仿宋_GB2312" w:hAnsi="方正仿宋_GB2312" w:eastAsia="方正仿宋_GB2312" w:cs="方正仿宋_GB2312"/>
          <w:color w:val="1F2329"/>
          <w:sz w:val="32"/>
          <w:szCs w:val="32"/>
        </w:rPr>
      </w:pPr>
      <w:r>
        <w:rPr>
          <w:rStyle w:val="6"/>
          <w:rFonts w:hint="eastAsia" w:ascii="方正仿宋_GB2312" w:hAnsi="方正仿宋_GB2312" w:eastAsia="方正仿宋_GB2312" w:cs="方正仿宋_GB2312"/>
          <w:color w:val="1F2329"/>
          <w:kern w:val="0"/>
          <w:sz w:val="32"/>
          <w:szCs w:val="32"/>
          <w:lang w:val="en-US" w:eastAsia="zh-CN" w:bidi="ar"/>
        </w:rPr>
        <w:t>6.配齐专职食品安全管理团队，全员持证上岗。</w:t>
      </w:r>
      <w:r>
        <w:rPr>
          <w:rFonts w:hint="eastAsia" w:ascii="方正仿宋_GB2312" w:hAnsi="方正仿宋_GB2312" w:eastAsia="方正仿宋_GB2312" w:cs="方正仿宋_GB2312"/>
          <w:color w:val="1F2329"/>
          <w:kern w:val="0"/>
          <w:sz w:val="32"/>
          <w:szCs w:val="32"/>
          <w:lang w:val="en-US" w:eastAsia="zh-CN" w:bidi="ar"/>
        </w:rPr>
        <w:t xml:space="preserve"> 设立食品安全总监或专职食品安全管理员并持证在岗；所有分拣、配送、采购人员持有效健康证明，建立从业人员健康台账、培训档案、岗前考核记录，杜绝带病上岗、无证作业。</w:t>
      </w:r>
    </w:p>
    <w:p w14:paraId="14F6C7DF">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eastAsia" w:ascii="方正仿宋_GB2312" w:hAnsi="方正仿宋_GB2312" w:eastAsia="方正仿宋_GB2312" w:cs="方正仿宋_GB2312"/>
          <w:color w:val="1F2329"/>
          <w:kern w:val="0"/>
          <w:sz w:val="32"/>
          <w:szCs w:val="32"/>
          <w:lang w:val="en-US" w:eastAsia="zh-CN" w:bidi="ar"/>
        </w:rPr>
      </w:pPr>
      <w:r>
        <w:rPr>
          <w:rStyle w:val="6"/>
          <w:rFonts w:hint="eastAsia" w:ascii="方正仿宋_GB2312" w:hAnsi="方正仿宋_GB2312" w:eastAsia="方正仿宋_GB2312" w:cs="方正仿宋_GB2312"/>
          <w:color w:val="1F2329"/>
          <w:kern w:val="0"/>
          <w:sz w:val="32"/>
          <w:szCs w:val="32"/>
          <w:lang w:val="en-US" w:eastAsia="zh-CN" w:bidi="ar"/>
        </w:rPr>
        <w:t>7.严格管控关联主体投标申报行为，规避围标串标风险。</w:t>
      </w:r>
      <w:r>
        <w:rPr>
          <w:rFonts w:hint="eastAsia" w:ascii="方正仿宋_GB2312" w:hAnsi="方正仿宋_GB2312" w:eastAsia="方正仿宋_GB2312" w:cs="方正仿宋_GB2312"/>
          <w:color w:val="1F2329"/>
          <w:kern w:val="0"/>
          <w:sz w:val="32"/>
          <w:szCs w:val="32"/>
          <w:lang w:val="en-US" w:eastAsia="zh-CN" w:bidi="ar"/>
        </w:rPr>
        <w:t>同一法定代表人、实际控制人以及存在股权关联的经营主体不得同时参与项目申报、多头投标；供应商须如实填报股权结构、实际控制人信息，签订诚信承诺，一经查实存在关联经营主体重复申报情形，直接取消参选及准入资格。</w:t>
      </w:r>
    </w:p>
    <w:p w14:paraId="573D317D">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三、报名时间地点</w:t>
      </w:r>
    </w:p>
    <w:p w14:paraId="621F9BA3">
      <w:pPr>
        <w:keepNext w:val="0"/>
        <w:keepLines w:val="0"/>
        <w:pageBreakBefore w:val="0"/>
        <w:widowControl w:val="0"/>
        <w:kinsoku/>
        <w:wordWrap/>
        <w:overflowPunct/>
        <w:topLinePunct w:val="0"/>
        <w:autoSpaceDE/>
        <w:autoSpaceDN/>
        <w:bidi w:val="0"/>
        <w:adjustRightInd/>
        <w:snapToGrid/>
        <w:spacing w:line="570" w:lineRule="exact"/>
        <w:ind w:firstLine="643" w:firstLineChars="200"/>
        <w:jc w:val="left"/>
        <w:textAlignment w:val="auto"/>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bCs/>
          <w:sz w:val="32"/>
          <w:szCs w:val="32"/>
          <w:lang w:val="en-US" w:eastAsia="zh-CN"/>
        </w:rPr>
        <w:t>（一）报名时间：</w:t>
      </w:r>
      <w:r>
        <w:rPr>
          <w:rFonts w:hint="eastAsia" w:ascii="方正仿宋_GB2312" w:hAnsi="方正仿宋_GB2312" w:eastAsia="方正仿宋_GB2312" w:cs="方正仿宋_GB2312"/>
          <w:b w:val="0"/>
          <w:bCs w:val="0"/>
          <w:sz w:val="32"/>
          <w:szCs w:val="32"/>
          <w:lang w:eastAsia="zh-CN"/>
        </w:rPr>
        <w:t>202</w:t>
      </w:r>
      <w:r>
        <w:rPr>
          <w:rFonts w:hint="eastAsia" w:ascii="方正仿宋_GB2312" w:hAnsi="方正仿宋_GB2312" w:eastAsia="方正仿宋_GB2312" w:cs="方正仿宋_GB2312"/>
          <w:b w:val="0"/>
          <w:bCs w:val="0"/>
          <w:sz w:val="32"/>
          <w:szCs w:val="32"/>
          <w:lang w:val="en-US" w:eastAsia="zh-CN"/>
        </w:rPr>
        <w:t>6</w:t>
      </w:r>
      <w:r>
        <w:rPr>
          <w:rFonts w:hint="eastAsia" w:ascii="方正仿宋_GB2312" w:hAnsi="方正仿宋_GB2312" w:eastAsia="方正仿宋_GB2312" w:cs="方正仿宋_GB2312"/>
          <w:b w:val="0"/>
          <w:bCs w:val="0"/>
          <w:sz w:val="32"/>
          <w:szCs w:val="32"/>
          <w:lang w:eastAsia="zh-CN"/>
        </w:rPr>
        <w:t>年</w:t>
      </w:r>
      <w:r>
        <w:rPr>
          <w:rFonts w:hint="eastAsia" w:ascii="方正仿宋_GB2312" w:hAnsi="方正仿宋_GB2312" w:eastAsia="方正仿宋_GB2312" w:cs="方正仿宋_GB2312"/>
          <w:b w:val="0"/>
          <w:bCs w:val="0"/>
          <w:sz w:val="32"/>
          <w:szCs w:val="32"/>
          <w:lang w:val="en-US" w:eastAsia="zh-CN"/>
        </w:rPr>
        <w:t>7</w:t>
      </w:r>
      <w:r>
        <w:rPr>
          <w:rFonts w:hint="eastAsia" w:ascii="方正仿宋_GB2312" w:hAnsi="方正仿宋_GB2312" w:eastAsia="方正仿宋_GB2312" w:cs="方正仿宋_GB2312"/>
          <w:b w:val="0"/>
          <w:bCs w:val="0"/>
          <w:sz w:val="32"/>
          <w:szCs w:val="32"/>
          <w:lang w:eastAsia="zh-CN"/>
        </w:rPr>
        <w:t>月</w:t>
      </w:r>
      <w:r>
        <w:rPr>
          <w:rFonts w:hint="eastAsia" w:ascii="方正仿宋_GB2312" w:hAnsi="方正仿宋_GB2312" w:eastAsia="方正仿宋_GB2312" w:cs="方正仿宋_GB2312"/>
          <w:b w:val="0"/>
          <w:bCs w:val="0"/>
          <w:sz w:val="32"/>
          <w:szCs w:val="32"/>
          <w:lang w:val="en-US" w:eastAsia="zh-CN"/>
        </w:rPr>
        <w:t>22</w:t>
      </w:r>
      <w:r>
        <w:rPr>
          <w:rFonts w:hint="eastAsia" w:ascii="方正仿宋_GB2312" w:hAnsi="方正仿宋_GB2312" w:eastAsia="方正仿宋_GB2312" w:cs="方正仿宋_GB2312"/>
          <w:b w:val="0"/>
          <w:bCs w:val="0"/>
          <w:sz w:val="32"/>
          <w:szCs w:val="32"/>
          <w:lang w:eastAsia="zh-CN"/>
        </w:rPr>
        <w:t>日</w:t>
      </w:r>
      <w:r>
        <w:rPr>
          <w:rFonts w:hint="eastAsia" w:ascii="方正仿宋_GB2312" w:hAnsi="方正仿宋_GB2312" w:eastAsia="方正仿宋_GB2312" w:cs="方正仿宋_GB2312"/>
          <w:b w:val="0"/>
          <w:bCs w:val="0"/>
          <w:sz w:val="32"/>
          <w:szCs w:val="32"/>
          <w:lang w:val="en-US" w:eastAsia="zh-CN"/>
        </w:rPr>
        <w:t>开始</w:t>
      </w:r>
      <w:r>
        <w:rPr>
          <w:rFonts w:hint="eastAsia" w:ascii="方正仿宋_GB2312" w:hAnsi="方正仿宋_GB2312" w:eastAsia="方正仿宋_GB2312" w:cs="方正仿宋_GB2312"/>
          <w:b w:val="0"/>
          <w:bCs w:val="0"/>
          <w:sz w:val="32"/>
          <w:szCs w:val="32"/>
          <w:lang w:eastAsia="zh-CN"/>
        </w:rPr>
        <w:t>；每天上午09:00-11:30，15:00-1</w:t>
      </w:r>
      <w:r>
        <w:rPr>
          <w:rFonts w:hint="eastAsia" w:ascii="方正仿宋_GB2312" w:hAnsi="方正仿宋_GB2312" w:eastAsia="方正仿宋_GB2312" w:cs="方正仿宋_GB2312"/>
          <w:b w:val="0"/>
          <w:bCs w:val="0"/>
          <w:sz w:val="32"/>
          <w:szCs w:val="32"/>
          <w:lang w:val="en-US" w:eastAsia="zh-CN"/>
        </w:rPr>
        <w:t>8</w:t>
      </w:r>
      <w:r>
        <w:rPr>
          <w:rFonts w:hint="eastAsia" w:ascii="方正仿宋_GB2312" w:hAnsi="方正仿宋_GB2312" w:eastAsia="方正仿宋_GB2312" w:cs="方正仿宋_GB2312"/>
          <w:b w:val="0"/>
          <w:bCs w:val="0"/>
          <w:sz w:val="32"/>
          <w:szCs w:val="32"/>
          <w:lang w:eastAsia="zh-CN"/>
        </w:rPr>
        <w:t>:00，自公告发布之日起5个工作日内</w:t>
      </w:r>
      <w:r>
        <w:rPr>
          <w:rFonts w:hint="eastAsia" w:ascii="方正仿宋_GB2312" w:hAnsi="方正仿宋_GB2312" w:eastAsia="方正仿宋_GB2312" w:cs="方正仿宋_GB2312"/>
          <w:b w:val="0"/>
          <w:bCs w:val="0"/>
          <w:sz w:val="32"/>
          <w:szCs w:val="32"/>
          <w:lang w:val="en-US" w:eastAsia="zh-CN"/>
        </w:rPr>
        <w:t>完成</w:t>
      </w:r>
      <w:r>
        <w:rPr>
          <w:rFonts w:hint="eastAsia" w:ascii="方正仿宋_GB2312" w:hAnsi="方正仿宋_GB2312" w:eastAsia="方正仿宋_GB2312" w:cs="方正仿宋_GB2312"/>
          <w:b w:val="0"/>
          <w:bCs w:val="0"/>
          <w:sz w:val="32"/>
          <w:szCs w:val="32"/>
          <w:lang w:eastAsia="zh-CN"/>
        </w:rPr>
        <w:t>。</w:t>
      </w:r>
    </w:p>
    <w:p w14:paraId="6A8B94E1">
      <w:pPr>
        <w:keepNext w:val="0"/>
        <w:keepLines w:val="0"/>
        <w:pageBreakBefore w:val="0"/>
        <w:widowControl w:val="0"/>
        <w:kinsoku/>
        <w:wordWrap/>
        <w:overflowPunct/>
        <w:topLinePunct w:val="0"/>
        <w:autoSpaceDE/>
        <w:autoSpaceDN/>
        <w:bidi w:val="0"/>
        <w:adjustRightInd/>
        <w:snapToGrid/>
        <w:spacing w:line="570" w:lineRule="exact"/>
        <w:ind w:firstLine="643" w:firstLineChars="200"/>
        <w:jc w:val="left"/>
        <w:textAlignment w:val="auto"/>
        <w:rPr>
          <w:rFonts w:hint="eastAsia" w:ascii="方正仿宋_GB2312" w:hAnsi="方正仿宋_GB2312" w:eastAsia="方正仿宋_GB2312" w:cs="方正仿宋_GB2312"/>
          <w:b/>
          <w:bCs/>
          <w:sz w:val="32"/>
          <w:szCs w:val="32"/>
          <w:lang w:eastAsia="zh-CN"/>
        </w:rPr>
      </w:pPr>
      <w:r>
        <w:rPr>
          <w:rFonts w:hint="eastAsia" w:ascii="方正仿宋_GB2312" w:hAnsi="方正仿宋_GB2312" w:eastAsia="方正仿宋_GB2312" w:cs="方正仿宋_GB2312"/>
          <w:b/>
          <w:bCs/>
          <w:sz w:val="32"/>
          <w:szCs w:val="32"/>
          <w:lang w:eastAsia="zh-CN"/>
        </w:rPr>
        <w:t>（</w:t>
      </w:r>
      <w:r>
        <w:rPr>
          <w:rFonts w:hint="eastAsia" w:ascii="方正仿宋_GB2312" w:hAnsi="方正仿宋_GB2312" w:eastAsia="方正仿宋_GB2312" w:cs="方正仿宋_GB2312"/>
          <w:b/>
          <w:bCs/>
          <w:sz w:val="32"/>
          <w:szCs w:val="32"/>
          <w:lang w:val="en-US" w:eastAsia="zh-CN"/>
        </w:rPr>
        <w:t>二</w:t>
      </w:r>
      <w:r>
        <w:rPr>
          <w:rFonts w:hint="eastAsia" w:ascii="方正仿宋_GB2312" w:hAnsi="方正仿宋_GB2312" w:eastAsia="方正仿宋_GB2312" w:cs="方正仿宋_GB2312"/>
          <w:b/>
          <w:bCs/>
          <w:sz w:val="32"/>
          <w:szCs w:val="32"/>
          <w:lang w:eastAsia="zh-CN"/>
        </w:rPr>
        <w:t>）报名地点：</w:t>
      </w:r>
    </w:p>
    <w:p w14:paraId="73FBD3B3">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eastAsia="zh-CN"/>
        </w:rPr>
        <w:t>南县教育局后勤服务中心</w:t>
      </w:r>
      <w:r>
        <w:rPr>
          <w:rFonts w:hint="eastAsia" w:ascii="方正仿宋_GB2312" w:hAnsi="方正仿宋_GB2312" w:eastAsia="方正仿宋_GB2312" w:cs="方正仿宋_GB2312"/>
          <w:b w:val="0"/>
          <w:bCs w:val="0"/>
          <w:sz w:val="32"/>
          <w:szCs w:val="32"/>
          <w:lang w:val="en-US" w:eastAsia="zh-CN"/>
        </w:rPr>
        <w:t>112室</w:t>
      </w:r>
    </w:p>
    <w:p w14:paraId="7B2EB866">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eastAsia="zh-CN"/>
        </w:rPr>
        <w:t>联系人：</w:t>
      </w:r>
      <w:r>
        <w:rPr>
          <w:rFonts w:hint="eastAsia" w:ascii="方正仿宋_GB2312" w:hAnsi="方正仿宋_GB2312" w:eastAsia="方正仿宋_GB2312" w:cs="方正仿宋_GB2312"/>
          <w:b w:val="0"/>
          <w:bCs w:val="0"/>
          <w:sz w:val="32"/>
          <w:szCs w:val="32"/>
          <w:lang w:val="en-US" w:eastAsia="zh-CN"/>
        </w:rPr>
        <w:t>谢应军</w:t>
      </w:r>
    </w:p>
    <w:p w14:paraId="0363D7D6">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eastAsia="zh-CN"/>
        </w:rPr>
        <w:t>联系电话：</w:t>
      </w:r>
      <w:r>
        <w:rPr>
          <w:rFonts w:hint="eastAsia" w:ascii="方正仿宋_GB2312" w:hAnsi="方正仿宋_GB2312" w:eastAsia="方正仿宋_GB2312" w:cs="方正仿宋_GB2312"/>
          <w:b w:val="0"/>
          <w:bCs w:val="0"/>
          <w:sz w:val="32"/>
          <w:szCs w:val="32"/>
          <w:lang w:val="en-US" w:eastAsia="zh-CN"/>
        </w:rPr>
        <w:t>13707375921</w:t>
      </w:r>
    </w:p>
    <w:p w14:paraId="2825A1E8">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left="0" w:leftChars="0" w:firstLine="643" w:firstLineChars="200"/>
        <w:jc w:val="left"/>
        <w:textAlignment w:val="auto"/>
        <w:rPr>
          <w:rFonts w:hint="eastAsia" w:ascii="方正仿宋_GB2312" w:hAnsi="方正仿宋_GB2312" w:eastAsia="方正仿宋_GB2312" w:cs="方正仿宋_GB2312"/>
          <w:b/>
          <w:bCs/>
          <w:sz w:val="32"/>
          <w:szCs w:val="32"/>
          <w:lang w:eastAsia="zh-CN"/>
        </w:rPr>
      </w:pPr>
      <w:r>
        <w:rPr>
          <w:rFonts w:hint="eastAsia" w:ascii="方正仿宋_GB2312" w:hAnsi="方正仿宋_GB2312" w:eastAsia="方正仿宋_GB2312" w:cs="方正仿宋_GB2312"/>
          <w:b/>
          <w:bCs/>
          <w:sz w:val="32"/>
          <w:szCs w:val="32"/>
          <w:lang w:eastAsia="zh-CN"/>
        </w:rPr>
        <w:t>监督管理部门：</w:t>
      </w:r>
    </w:p>
    <w:p w14:paraId="3EC3B1C6">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leftChars="200" w:firstLine="320" w:firstLineChars="100"/>
        <w:jc w:val="left"/>
        <w:textAlignment w:val="auto"/>
        <w:rPr>
          <w:rFonts w:hint="eastAsia" w:ascii="方正仿宋_GB2312" w:hAnsi="方正仿宋_GB2312" w:eastAsia="方正仿宋_GB2312" w:cs="方正仿宋_GB2312"/>
          <w:b w:val="0"/>
          <w:bCs w:val="0"/>
          <w:sz w:val="32"/>
          <w:szCs w:val="32"/>
          <w:lang w:eastAsia="zh-CN"/>
        </w:rPr>
      </w:pPr>
      <w:r>
        <w:rPr>
          <w:rFonts w:hint="eastAsia" w:ascii="方正仿宋_GB2312" w:hAnsi="方正仿宋_GB2312" w:eastAsia="方正仿宋_GB2312" w:cs="方正仿宋_GB2312"/>
          <w:b w:val="0"/>
          <w:bCs w:val="0"/>
          <w:sz w:val="32"/>
          <w:szCs w:val="32"/>
          <w:lang w:eastAsia="zh-CN"/>
        </w:rPr>
        <w:t>南县教育局纪检监察室</w:t>
      </w:r>
    </w:p>
    <w:p w14:paraId="4F50FC69">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eastAsia="zh-CN"/>
        </w:rPr>
        <w:t>联系人：范</w:t>
      </w:r>
      <w:r>
        <w:rPr>
          <w:rFonts w:hint="eastAsia" w:ascii="方正仿宋_GB2312" w:hAnsi="方正仿宋_GB2312" w:eastAsia="方正仿宋_GB2312" w:cs="方正仿宋_GB2312"/>
          <w:b w:val="0"/>
          <w:bCs w:val="0"/>
          <w:sz w:val="32"/>
          <w:szCs w:val="32"/>
          <w:lang w:val="en-US" w:eastAsia="zh-CN"/>
        </w:rPr>
        <w:t xml:space="preserve">  </w:t>
      </w:r>
      <w:r>
        <w:rPr>
          <w:rFonts w:hint="eastAsia" w:ascii="方正仿宋_GB2312" w:hAnsi="方正仿宋_GB2312" w:eastAsia="方正仿宋_GB2312" w:cs="方正仿宋_GB2312"/>
          <w:b w:val="0"/>
          <w:bCs w:val="0"/>
          <w:sz w:val="32"/>
          <w:szCs w:val="32"/>
          <w:lang w:eastAsia="zh-CN"/>
        </w:rPr>
        <w:t>兴　　联系电话：</w:t>
      </w:r>
      <w:r>
        <w:rPr>
          <w:rFonts w:hint="eastAsia" w:ascii="方正仿宋_GB2312" w:hAnsi="方正仿宋_GB2312" w:eastAsia="方正仿宋_GB2312" w:cs="方正仿宋_GB2312"/>
          <w:b w:val="0"/>
          <w:bCs w:val="0"/>
          <w:sz w:val="32"/>
          <w:szCs w:val="32"/>
          <w:lang w:val="en-US" w:eastAsia="zh-CN"/>
        </w:rPr>
        <w:t>13875362548</w:t>
      </w:r>
    </w:p>
    <w:p w14:paraId="4FB6ABBC">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left"/>
        <w:textAlignment w:val="auto"/>
        <w:rPr>
          <w:rFonts w:hint="eastAsia" w:ascii="方正黑体_GBK" w:hAnsi="方正黑体_GBK" w:eastAsia="方正黑体_GBK" w:cs="方正黑体_GBK"/>
          <w:b w:val="0"/>
          <w:bCs w:val="0"/>
          <w:sz w:val="32"/>
          <w:szCs w:val="32"/>
          <w:lang w:val="en-US" w:eastAsia="zh-CN"/>
        </w:rPr>
      </w:pPr>
    </w:p>
    <w:p w14:paraId="0F3CA76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44848F48-7489-4C9E-8992-D5E62C7BE80B}"/>
  </w:font>
  <w:font w:name="方正仿宋_GB2312">
    <w:panose1 w:val="02000000000000000000"/>
    <w:charset w:val="86"/>
    <w:family w:val="auto"/>
    <w:pitch w:val="default"/>
    <w:sig w:usb0="A00002BF" w:usb1="184F6CFA" w:usb2="00000012" w:usb3="00000000" w:csb0="00040001" w:csb1="00000000"/>
    <w:embedRegular r:id="rId2" w:fontKey="{012418BF-7FE3-49CA-8B6A-27ACE33683BB}"/>
  </w:font>
  <w:font w:name="方正小标宋简体">
    <w:panose1 w:val="03000509000000000000"/>
    <w:charset w:val="86"/>
    <w:family w:val="auto"/>
    <w:pitch w:val="default"/>
    <w:sig w:usb0="00000001" w:usb1="080E0000" w:usb2="00000000" w:usb3="00000000" w:csb0="00040000" w:csb1="00000000"/>
    <w:embedRegular r:id="rId3" w:fontKey="{8BB963C5-5DE3-4308-9869-565386E9B265}"/>
  </w:font>
  <w:font w:name="方正黑体_GBK">
    <w:panose1 w:val="02010600010101010101"/>
    <w:charset w:val="86"/>
    <w:family w:val="auto"/>
    <w:pitch w:val="default"/>
    <w:sig w:usb0="00000001" w:usb1="080E0000" w:usb2="00000000" w:usb3="00000000" w:csb0="00040000" w:csb1="00000000"/>
    <w:embedRegular r:id="rId4" w:fontKey="{0E4DCA37-618A-4E18-8F35-401A1E9B6075}"/>
  </w:font>
  <w:font w:name="方正楷体_GBK">
    <w:panose1 w:val="02000000000000000000"/>
    <w:charset w:val="86"/>
    <w:family w:val="auto"/>
    <w:pitch w:val="default"/>
    <w:sig w:usb0="800002BF" w:usb1="38CF7CFA" w:usb2="00000016" w:usb3="00000000" w:csb0="00040000" w:csb1="00000000"/>
    <w:embedRegular r:id="rId5" w:fontKey="{CD2DEE41-AEF9-41D9-82A4-B1026D08647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A3527B"/>
    <w:multiLevelType w:val="singleLevel"/>
    <w:tmpl w:val="89A3527B"/>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D576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next w:val="3"/>
    <w:qFormat/>
    <w:uiPriority w:val="0"/>
    <w:pPr>
      <w:widowControl w:val="0"/>
      <w:spacing w:line="360" w:lineRule="exact"/>
      <w:jc w:val="both"/>
    </w:pPr>
    <w:rPr>
      <w:rFonts w:ascii="Calibri" w:hAnsi="Calibri" w:eastAsia="宋体" w:cs="Times New Roman"/>
      <w:kern w:val="0"/>
      <w:sz w:val="20"/>
      <w:szCs w:val="24"/>
      <w:lang w:val="en-US" w:eastAsia="zh-CN" w:bidi="ar-SA"/>
    </w:rPr>
  </w:style>
  <w:style w:type="paragraph" w:styleId="3">
    <w:name w:val="Body Text First Indent"/>
    <w:next w:val="1"/>
    <w:qFormat/>
    <w:uiPriority w:val="0"/>
    <w:pPr>
      <w:widowControl/>
      <w:spacing w:after="120" w:line="240" w:lineRule="auto"/>
      <w:ind w:firstLine="420" w:firstLineChars="100"/>
      <w:jc w:val="both"/>
    </w:pPr>
    <w:rPr>
      <w:rFonts w:ascii="Calibri" w:hAnsi="Calibri" w:eastAsia="宋体" w:cs="Times New Roman"/>
      <w:kern w:val="0"/>
      <w:sz w:val="20"/>
      <w:szCs w:val="20"/>
      <w:lang w:val="en-US" w:eastAsia="zh-CN" w:bidi="ar-SA"/>
    </w:rPr>
  </w:style>
  <w:style w:type="character" w:styleId="6">
    <w:name w:val="Strong"/>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2026-07-14T02:39:11Z</dcterms:created>
  <dc:creator>Lenovo</dc:creator>
  <cp:lastModifiedBy>Tanya</cp:lastModifiedBy>
  <dcterms:modified xsi:type="dcterms:W3CDTF">2026-07-14T02:40:19Z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eyJoZGlkIjoiY2Q2OWU2NjY4NTA2YTQyMzMyZjZjMjZlMzFjYmNhZjgiLCJ1c2VySWQiOiI0NjExNjk2MjUifQ==</vt:lpwstr>
  </property>
  <property fmtid="{D5CDD505-2E9C-101B-9397-08002B2CF9AE}" pid="4" name="ICV">
    <vt:lpwstr>575F6C4F7014446A87B9D7FC5BAE4133_12</vt:lpwstr>
  </property>
</Properties>
</file>