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A2B7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color w:val="000000"/>
          <w:sz w:val="32"/>
          <w:szCs w:val="32"/>
          <w:u w:val="none"/>
          <w:lang w:val="en-US" w:eastAsia="zh-CN"/>
        </w:rPr>
      </w:pPr>
      <w:r>
        <w:rPr>
          <w:rFonts w:hint="eastAsia" w:ascii="方正黑体_GBK" w:hAnsi="方正黑体_GBK" w:eastAsia="方正黑体_GBK" w:cs="方正黑体_GBK"/>
          <w:color w:val="000000"/>
          <w:sz w:val="32"/>
          <w:szCs w:val="32"/>
          <w:u w:val="none"/>
          <w:lang w:val="en-US" w:eastAsia="zh-CN"/>
        </w:rPr>
        <w:t>附件1</w:t>
      </w:r>
    </w:p>
    <w:p w14:paraId="38F72B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sz w:val="44"/>
          <w:szCs w:val="44"/>
          <w:u w:val="none"/>
          <w:lang w:val="en-US" w:eastAsia="zh-CN"/>
        </w:rPr>
      </w:pPr>
      <w:r>
        <w:rPr>
          <w:rFonts w:hint="eastAsia" w:ascii="方正小标宋_GBK" w:hAnsi="方正小标宋_GBK" w:eastAsia="方正小标宋_GBK" w:cs="方正小标宋_GBK"/>
          <w:color w:val="000000"/>
          <w:sz w:val="44"/>
          <w:szCs w:val="44"/>
          <w:u w:val="none"/>
          <w:lang w:val="en-US" w:eastAsia="zh-CN"/>
        </w:rPr>
        <w:t>厂窖镇2026年油菜秸秆综合利用实施细则</w:t>
      </w:r>
    </w:p>
    <w:p w14:paraId="4BF40F48">
      <w:pPr>
        <w:keepNext w:val="0"/>
        <w:keepLines w:val="0"/>
        <w:pageBreakBefore w:val="0"/>
        <w:widowControl w:val="0"/>
        <w:kinsoku/>
        <w:wordWrap/>
        <w:overflowPunct/>
        <w:topLinePunct w:val="0"/>
        <w:autoSpaceDE/>
        <w:autoSpaceDN/>
        <w:bidi w:val="0"/>
        <w:adjustRightInd/>
        <w:snapToGrid/>
        <w:spacing w:before="313" w:beforeLines="100" w:line="560" w:lineRule="exact"/>
        <w:ind w:firstLine="640" w:firstLineChars="200"/>
        <w:jc w:val="both"/>
        <w:textAlignment w:val="auto"/>
        <w:rPr>
          <w:rFonts w:hint="eastAsia" w:ascii="Times New Roman" w:hAnsi="Times New Roman" w:eastAsia="方正仿宋简体" w:cs="方正仿宋简体"/>
          <w:color w:val="000000"/>
          <w:sz w:val="32"/>
          <w:szCs w:val="32"/>
          <w:u w:val="none"/>
          <w:lang w:val="en-US" w:eastAsia="zh-CN"/>
        </w:rPr>
      </w:pPr>
      <w:r>
        <w:rPr>
          <w:rFonts w:hint="eastAsia" w:ascii="Times New Roman" w:hAnsi="Times New Roman" w:eastAsia="方正仿宋简体" w:cs="方正仿宋简体"/>
          <w:color w:val="000000"/>
          <w:sz w:val="32"/>
          <w:szCs w:val="32"/>
          <w:u w:val="none"/>
          <w:lang w:val="en-US" w:eastAsia="zh-CN"/>
        </w:rPr>
        <w:t>为落实油菜秸秆综合利用方案，保障秸秆禁烧效果，对相关具体工作制定本细则：</w:t>
      </w:r>
    </w:p>
    <w:p w14:paraId="0BB9C92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简体" w:cs="方正仿宋简体"/>
          <w:color w:val="000000"/>
          <w:sz w:val="32"/>
          <w:szCs w:val="32"/>
          <w:u w:val="none"/>
          <w:lang w:val="en-US" w:eastAsia="zh-CN"/>
        </w:rPr>
      </w:pPr>
      <w:r>
        <w:rPr>
          <w:rFonts w:hint="eastAsia" w:ascii="Times New Roman" w:hAnsi="Times New Roman" w:eastAsia="方正仿宋简体" w:cs="方正仿宋简体"/>
          <w:color w:val="000000"/>
          <w:sz w:val="32"/>
          <w:szCs w:val="32"/>
          <w:u w:val="none"/>
          <w:lang w:val="en-US" w:eastAsia="zh-CN"/>
        </w:rPr>
        <w:t xml:space="preserve">    </w:t>
      </w:r>
      <w:r>
        <w:rPr>
          <w:rFonts w:hint="eastAsia" w:ascii="国标黑体" w:hAnsi="国标黑体" w:eastAsia="国标黑体" w:cs="国标黑体"/>
          <w:color w:val="000000"/>
          <w:sz w:val="32"/>
          <w:szCs w:val="32"/>
          <w:u w:val="none"/>
          <w:lang w:val="en-US" w:eastAsia="zh-CN"/>
        </w:rPr>
        <w:t>一、工作原则</w:t>
      </w:r>
      <w:bookmarkStart w:id="0" w:name="_GoBack"/>
      <w:bookmarkEnd w:id="0"/>
    </w:p>
    <w:p w14:paraId="639F52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1.协同推进：</w:t>
      </w:r>
      <w:r>
        <w:rPr>
          <w:rFonts w:hint="eastAsia" w:ascii="方正仿宋_GBK" w:hAnsi="方正仿宋_GBK" w:eastAsia="方正仿宋_GBK" w:cs="方正仿宋_GBK"/>
          <w:color w:val="000000"/>
          <w:sz w:val="32"/>
          <w:szCs w:val="32"/>
          <w:u w:val="none"/>
          <w:lang w:val="en-US" w:eastAsia="zh-CN"/>
        </w:rPr>
        <w:t>秸秆综合利用与禁烧协同推进，综合利用是出路，全域禁烧是目的。</w:t>
      </w:r>
    </w:p>
    <w:p w14:paraId="60D24C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2.分类施策：</w:t>
      </w:r>
      <w:r>
        <w:rPr>
          <w:rFonts w:hint="eastAsia" w:ascii="方正仿宋_GBK" w:hAnsi="方正仿宋_GBK" w:eastAsia="方正仿宋_GBK" w:cs="方正仿宋_GBK"/>
          <w:color w:val="000000"/>
          <w:sz w:val="32"/>
          <w:szCs w:val="32"/>
          <w:u w:val="none"/>
          <w:lang w:val="en-US" w:eastAsia="zh-CN"/>
        </w:rPr>
        <w:t>针对不同地形、不同模式、不同品种和群众的意愿，采用对应利用模式、适宜设备。</w:t>
      </w:r>
    </w:p>
    <w:p w14:paraId="10E0A6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3.分片包干：</w:t>
      </w:r>
      <w:r>
        <w:rPr>
          <w:rFonts w:hint="eastAsia" w:ascii="方正仿宋_GBK" w:hAnsi="方正仿宋_GBK" w:eastAsia="方正仿宋_GBK" w:cs="方正仿宋_GBK"/>
          <w:color w:val="000000"/>
          <w:sz w:val="32"/>
          <w:szCs w:val="32"/>
          <w:u w:val="none"/>
          <w:lang w:val="en-US" w:eastAsia="zh-CN"/>
        </w:rPr>
        <w:t>由办点领导和干部，负责指导各村各片区的秸秆综合利用工作，具体安排与秸秆禁烧分片包干一致。</w:t>
      </w:r>
    </w:p>
    <w:p w14:paraId="666B40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简体" w:cs="方正仿宋简体"/>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4.精准发力：</w:t>
      </w:r>
      <w:r>
        <w:rPr>
          <w:rFonts w:hint="eastAsia" w:ascii="方正仿宋_GBK" w:hAnsi="方正仿宋_GBK" w:eastAsia="方正仿宋_GBK" w:cs="方正仿宋_GBK"/>
          <w:color w:val="000000"/>
          <w:sz w:val="32"/>
          <w:szCs w:val="32"/>
          <w:u w:val="none"/>
          <w:lang w:val="en-US" w:eastAsia="zh-CN"/>
        </w:rPr>
        <w:t>详细摸清油菜田块秸秆底数，制定“一户一策”乃至“一丘一策”，精准安排作业力量、精准落实管控责任。</w:t>
      </w:r>
    </w:p>
    <w:p w14:paraId="28D842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国标黑体" w:hAnsi="国标黑体" w:eastAsia="国标黑体" w:cs="国标黑体"/>
          <w:color w:val="000000"/>
          <w:sz w:val="32"/>
          <w:szCs w:val="32"/>
          <w:u w:val="none"/>
          <w:lang w:val="en-US" w:eastAsia="zh-CN"/>
        </w:rPr>
      </w:pPr>
      <w:r>
        <w:rPr>
          <w:rFonts w:hint="eastAsia" w:ascii="国标黑体" w:hAnsi="国标黑体" w:eastAsia="国标黑体" w:cs="国标黑体"/>
          <w:color w:val="000000"/>
          <w:sz w:val="32"/>
          <w:szCs w:val="32"/>
          <w:u w:val="none"/>
          <w:lang w:val="en-US" w:eastAsia="zh-CN"/>
        </w:rPr>
        <w:t>二、工作流程</w:t>
      </w:r>
    </w:p>
    <w:p w14:paraId="37D405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1.底数再澄清。</w:t>
      </w:r>
      <w:r>
        <w:rPr>
          <w:rFonts w:hint="eastAsia" w:ascii="方正仿宋_GBK" w:hAnsi="方正仿宋_GBK" w:eastAsia="方正仿宋_GBK" w:cs="方正仿宋_GBK"/>
          <w:color w:val="000000"/>
          <w:sz w:val="32"/>
          <w:szCs w:val="32"/>
          <w:u w:val="none"/>
          <w:lang w:val="en-US" w:eastAsia="zh-CN"/>
        </w:rPr>
        <w:t>根据新形势新要求，再对农户丘块大小、种植类型、处理意愿和要求进行核实清查。核查数据是后续工作的基础，务必精准，由支部书记、办点领导签字确认。详见附件2综合利用农户田块信息采集表。</w:t>
      </w:r>
    </w:p>
    <w:p w14:paraId="7FA07C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2.实地再踏勘。</w:t>
      </w:r>
      <w:r>
        <w:rPr>
          <w:rFonts w:hint="eastAsia" w:ascii="方正仿宋_GBK" w:hAnsi="方正仿宋_GBK" w:eastAsia="方正仿宋_GBK" w:cs="方正仿宋_GBK"/>
          <w:color w:val="000000"/>
          <w:sz w:val="32"/>
          <w:szCs w:val="32"/>
          <w:u w:val="none"/>
          <w:lang w:val="en-US" w:eastAsia="zh-CN"/>
        </w:rPr>
        <w:t>在各村（社区）采集信息基础上，针对有打捆离田意愿的稻油、稻菜、稻虾田，由农业综合服务中心协调县里分配的打捆离田主体进村到田实地踏勘，确定打捆离田设备类型和区域。</w:t>
      </w:r>
    </w:p>
    <w:p w14:paraId="5BEE30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3.对策再确定。</w:t>
      </w:r>
      <w:r>
        <w:rPr>
          <w:rFonts w:hint="eastAsia" w:ascii="方正仿宋_GBK" w:hAnsi="方正仿宋_GBK" w:eastAsia="方正仿宋_GBK" w:cs="方正仿宋_GBK"/>
          <w:color w:val="000000"/>
          <w:sz w:val="32"/>
          <w:szCs w:val="32"/>
          <w:u w:val="none"/>
          <w:lang w:val="en-US" w:eastAsia="zh-CN"/>
        </w:rPr>
        <w:t>由各村和农业综合服务中心协作，对打捆离田的稻油、稻菜，粉碎还田的稻油、稻菜田，一一确定处理主体、配备农机。其中，考虑补贴可观，惠及本地，粉碎还田的农机优先由本村负责组织，农业综合中心指导审核是否符合技术要求，不足部分再由县里分配的农机主体补充。最终由农业综合服务中心形成“一户一策”，详见附件3综合利用机械设备主体信息采集表。</w:t>
      </w:r>
    </w:p>
    <w:p w14:paraId="33E768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u w:val="none"/>
          <w:lang w:val="en-US" w:eastAsia="zh-CN"/>
        </w:rPr>
      </w:pPr>
      <w:r>
        <w:rPr>
          <w:rFonts w:hint="eastAsia" w:ascii="方正楷体_GBK" w:hAnsi="方正楷体_GBK" w:eastAsia="方正楷体_GBK" w:cs="方正楷体_GBK"/>
          <w:color w:val="000000"/>
          <w:sz w:val="32"/>
          <w:szCs w:val="32"/>
          <w:u w:val="none"/>
          <w:lang w:val="en-US" w:eastAsia="zh-CN"/>
        </w:rPr>
        <w:t>4.措施再落实。</w:t>
      </w:r>
      <w:r>
        <w:rPr>
          <w:rFonts w:hint="eastAsia" w:ascii="方正仿宋_GBK" w:hAnsi="方正仿宋_GBK" w:eastAsia="方正仿宋_GBK" w:cs="方正仿宋_GBK"/>
          <w:color w:val="000000"/>
          <w:sz w:val="32"/>
          <w:szCs w:val="32"/>
          <w:u w:val="none"/>
          <w:lang w:val="en-US" w:eastAsia="zh-CN"/>
        </w:rPr>
        <w:t>“一户一策”的落实，由各村负责协调农户配合，并调度本村粉碎还田机手；农业综合服务中心负责协调打捆离田主体，指导</w:t>
      </w:r>
      <w:r>
        <w:rPr>
          <w:rFonts w:hint="default" w:ascii="方正仿宋_GBK" w:hAnsi="方正仿宋_GBK" w:eastAsia="方正仿宋_GBK" w:cs="方正仿宋_GBK"/>
          <w:color w:val="000000"/>
          <w:sz w:val="32"/>
          <w:szCs w:val="32"/>
          <w:u w:val="none"/>
          <w:lang w:val="en-US" w:eastAsia="zh-CN"/>
        </w:rPr>
        <w:t>还田</w:t>
      </w:r>
      <w:r>
        <w:rPr>
          <w:rFonts w:hint="eastAsia" w:ascii="方正仿宋_GBK" w:hAnsi="方正仿宋_GBK" w:eastAsia="方正仿宋_GBK" w:cs="方正仿宋_GBK"/>
          <w:color w:val="000000"/>
          <w:sz w:val="32"/>
          <w:szCs w:val="32"/>
          <w:u w:val="none"/>
          <w:lang w:val="en-US" w:eastAsia="zh-CN"/>
        </w:rPr>
        <w:t>模式，在各农机主体中明确队伍，建立应急处理机制，应对突发情况，及时保障禁烧效果，汇总各村各类型实施面积，对接县局；综合行政执法大队负责秸秆禁烧工作，配合农机作业巡查和监管。时间要求为整个禁烧期。</w:t>
      </w:r>
    </w:p>
    <w:p w14:paraId="0A8779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u w:val="none"/>
          <w:lang w:val="en-US" w:eastAsia="zh-CN"/>
        </w:rPr>
      </w:pPr>
    </w:p>
    <w:p w14:paraId="754FA2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简体" w:cs="方正仿宋简体"/>
          <w:color w:val="000000"/>
          <w:sz w:val="32"/>
          <w:szCs w:val="32"/>
          <w:u w:val="none"/>
          <w:lang w:val="en-US" w:eastAsia="zh-CN"/>
        </w:rPr>
      </w:pPr>
    </w:p>
    <w:p w14:paraId="3F90C1B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国标仿宋-GB/T 2312" w:hAnsi="国标仿宋-GB/T 2312" w:eastAsia="国标仿宋-GB/T 2312" w:cs="国标仿宋-GB/T 2312"/>
          <w:b w:val="0"/>
          <w:bCs w:val="0"/>
          <w:color w:val="000000"/>
          <w:sz w:val="32"/>
          <w:szCs w:val="32"/>
          <w:u w:val="none"/>
          <w:lang w:val="en-US" w:eastAsia="zh-CN"/>
        </w:rPr>
      </w:pPr>
    </w:p>
    <w:sectPr>
      <w:headerReference r:id="rId3" w:type="default"/>
      <w:footerReference r:id="rId4" w:type="default"/>
      <w:pgSz w:w="11906" w:h="16838"/>
      <w:pgMar w:top="192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汉仪细圆B5">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简体">
    <w:altName w:val="方正楷体_GBK"/>
    <w:panose1 w:val="03000509000000000000"/>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简体">
    <w:altName w:val="方正仿宋_GBK"/>
    <w:panose1 w:val="03000509000000000000"/>
    <w:charset w:val="86"/>
    <w:family w:val="auto"/>
    <w:pitch w:val="default"/>
    <w:sig w:usb0="00000000" w:usb1="00000000" w:usb2="00000000" w:usb3="00000000" w:csb0="00040000" w:csb1="00000000"/>
  </w:font>
  <w:font w:name="方正黑体简体">
    <w:altName w:val="方正黑体_GBK"/>
    <w:panose1 w:val="03000509000000000000"/>
    <w:charset w:val="86"/>
    <w:family w:val="auto"/>
    <w:pitch w:val="default"/>
    <w:sig w:usb0="00000000" w:usb1="00000000" w:usb2="00000000" w:usb3="00000000" w:csb0="00040000" w:csb1="00000000"/>
  </w:font>
  <w:font w:name="国标黑体">
    <w:altName w:val="方正黑体_GBK"/>
    <w:panose1 w:val="02000500000000000000"/>
    <w:charset w:val="86"/>
    <w:family w:val="auto"/>
    <w:pitch w:val="default"/>
    <w:sig w:usb0="00000000" w:usb1="00000000" w:usb2="00000000" w:usb3="00000000" w:csb0="00040000" w:csb1="00000000"/>
  </w:font>
  <w:font w:name="国标黑体-GB/T 2312">
    <w:altName w:val="方正黑体_GBK"/>
    <w:panose1 w:val="02000500000000000000"/>
    <w:charset w:val="86"/>
    <w:family w:val="auto"/>
    <w:pitch w:val="default"/>
    <w:sig w:usb0="00000000" w:usb1="00000000" w:usb2="00000000" w:usb3="00000000" w:csb0="00040000" w:csb1="00000000"/>
  </w:font>
  <w:font w:name="国标仿宋-GB/T 2312">
    <w:altName w:val="方正仿宋_GBK"/>
    <w:panose1 w:val="020005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FA3B0">
    <w:pPr>
      <w:pStyle w:val="4"/>
      <w:rPr>
        <w:rFonts w:hint="eastAsia" w:eastAsiaTheme="minorEastAsia"/>
        <w:sz w:val="28"/>
        <w:szCs w:val="28"/>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866B1">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- 3 -</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4C866B1">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- 3 -</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23AB1">
                          <w:pPr>
                            <w:pStyle w:val="4"/>
                            <w:rPr>
                              <w:rFonts w:hint="eastAsia" w:eastAsiaTheme="minorEastAsia"/>
                              <w:sz w:val="28"/>
                              <w:szCs w:val="28"/>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ED23AB1">
                    <w:pPr>
                      <w:pStyle w:val="4"/>
                      <w:rPr>
                        <w:rFonts w:hint="eastAsia" w:eastAsiaTheme="minorEastAsia"/>
                        <w:sz w:val="28"/>
                        <w:szCs w:val="28"/>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0B2DB">
    <w:pPr>
      <w:pStyle w:val="5"/>
    </w:pPr>
  </w:p>
  <w:p w14:paraId="19D6AB24">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865A2C"/>
    <w:rsid w:val="00A962A2"/>
    <w:rsid w:val="00B036AE"/>
    <w:rsid w:val="00FE7031"/>
    <w:rsid w:val="01E07623"/>
    <w:rsid w:val="03747A3A"/>
    <w:rsid w:val="04074A2A"/>
    <w:rsid w:val="04991D9B"/>
    <w:rsid w:val="04CC66DA"/>
    <w:rsid w:val="05315411"/>
    <w:rsid w:val="05A01219"/>
    <w:rsid w:val="06331B3C"/>
    <w:rsid w:val="07A8169D"/>
    <w:rsid w:val="08595C3E"/>
    <w:rsid w:val="088E0696"/>
    <w:rsid w:val="09F77C68"/>
    <w:rsid w:val="0A7A657A"/>
    <w:rsid w:val="0A8068C8"/>
    <w:rsid w:val="0B320735"/>
    <w:rsid w:val="0B416482"/>
    <w:rsid w:val="0BED101D"/>
    <w:rsid w:val="0EC51CF1"/>
    <w:rsid w:val="0F334EAC"/>
    <w:rsid w:val="0F6F0C5E"/>
    <w:rsid w:val="0F7F7429"/>
    <w:rsid w:val="0F9F722F"/>
    <w:rsid w:val="0FC84B70"/>
    <w:rsid w:val="0FF40EB8"/>
    <w:rsid w:val="128A65A2"/>
    <w:rsid w:val="12CC28F8"/>
    <w:rsid w:val="130C274F"/>
    <w:rsid w:val="13841114"/>
    <w:rsid w:val="153B29E4"/>
    <w:rsid w:val="15A46B90"/>
    <w:rsid w:val="16B16687"/>
    <w:rsid w:val="175D5EE1"/>
    <w:rsid w:val="17627DEA"/>
    <w:rsid w:val="19074C20"/>
    <w:rsid w:val="194222A2"/>
    <w:rsid w:val="19A37420"/>
    <w:rsid w:val="19EB084F"/>
    <w:rsid w:val="19EC5296"/>
    <w:rsid w:val="1A2A6669"/>
    <w:rsid w:val="1A7806FD"/>
    <w:rsid w:val="1AA8344A"/>
    <w:rsid w:val="1AF112C0"/>
    <w:rsid w:val="1C2F1FCD"/>
    <w:rsid w:val="1C691E69"/>
    <w:rsid w:val="1C6D1AB1"/>
    <w:rsid w:val="1C712C07"/>
    <w:rsid w:val="1D2A35E4"/>
    <w:rsid w:val="1DA91839"/>
    <w:rsid w:val="1E116D00"/>
    <w:rsid w:val="1EA17F07"/>
    <w:rsid w:val="1FEC1EAC"/>
    <w:rsid w:val="215D195F"/>
    <w:rsid w:val="21BC6F83"/>
    <w:rsid w:val="21C24E71"/>
    <w:rsid w:val="230B610D"/>
    <w:rsid w:val="25CB5645"/>
    <w:rsid w:val="25D06895"/>
    <w:rsid w:val="26EF2570"/>
    <w:rsid w:val="27840543"/>
    <w:rsid w:val="27C66D50"/>
    <w:rsid w:val="28341582"/>
    <w:rsid w:val="28D22706"/>
    <w:rsid w:val="298B6B53"/>
    <w:rsid w:val="29AD116F"/>
    <w:rsid w:val="2B3E6082"/>
    <w:rsid w:val="2C35087A"/>
    <w:rsid w:val="2C62387F"/>
    <w:rsid w:val="2CCB7812"/>
    <w:rsid w:val="2D105F7D"/>
    <w:rsid w:val="2D1238CE"/>
    <w:rsid w:val="2E136AA5"/>
    <w:rsid w:val="2EA1540F"/>
    <w:rsid w:val="2F0241AF"/>
    <w:rsid w:val="30336A9F"/>
    <w:rsid w:val="31685DEB"/>
    <w:rsid w:val="31865A2C"/>
    <w:rsid w:val="319E48F7"/>
    <w:rsid w:val="32890278"/>
    <w:rsid w:val="3639699D"/>
    <w:rsid w:val="36A743DD"/>
    <w:rsid w:val="36D72A86"/>
    <w:rsid w:val="373A4D29"/>
    <w:rsid w:val="382E4EBC"/>
    <w:rsid w:val="38344F41"/>
    <w:rsid w:val="397101CC"/>
    <w:rsid w:val="3997260A"/>
    <w:rsid w:val="39BC1544"/>
    <w:rsid w:val="39F72C5B"/>
    <w:rsid w:val="3AE113B1"/>
    <w:rsid w:val="3B4B61A3"/>
    <w:rsid w:val="3BF2077E"/>
    <w:rsid w:val="3C7A4FBF"/>
    <w:rsid w:val="3CF06E89"/>
    <w:rsid w:val="3DE21C94"/>
    <w:rsid w:val="3DE55DF3"/>
    <w:rsid w:val="3ECB1C12"/>
    <w:rsid w:val="3ED34AA0"/>
    <w:rsid w:val="3F3D66CD"/>
    <w:rsid w:val="3FEF02CB"/>
    <w:rsid w:val="417A14FB"/>
    <w:rsid w:val="4216717B"/>
    <w:rsid w:val="451D1671"/>
    <w:rsid w:val="4580177B"/>
    <w:rsid w:val="46F5136C"/>
    <w:rsid w:val="476837B5"/>
    <w:rsid w:val="478627E6"/>
    <w:rsid w:val="48E07B1E"/>
    <w:rsid w:val="48EE3617"/>
    <w:rsid w:val="49464F44"/>
    <w:rsid w:val="497D0CA1"/>
    <w:rsid w:val="4BF4132A"/>
    <w:rsid w:val="4C9E3D41"/>
    <w:rsid w:val="4D2117E5"/>
    <w:rsid w:val="4D7814A6"/>
    <w:rsid w:val="4DEB6A7C"/>
    <w:rsid w:val="4EB46CAF"/>
    <w:rsid w:val="4EE33F7B"/>
    <w:rsid w:val="4EF10D13"/>
    <w:rsid w:val="4EF72C1C"/>
    <w:rsid w:val="4FAB609A"/>
    <w:rsid w:val="4FE7E176"/>
    <w:rsid w:val="50D137A7"/>
    <w:rsid w:val="51A76160"/>
    <w:rsid w:val="51AD440F"/>
    <w:rsid w:val="52AB4289"/>
    <w:rsid w:val="53A52027"/>
    <w:rsid w:val="545455E7"/>
    <w:rsid w:val="547E551D"/>
    <w:rsid w:val="54CC5F12"/>
    <w:rsid w:val="54EB4860"/>
    <w:rsid w:val="552542D2"/>
    <w:rsid w:val="55CF0821"/>
    <w:rsid w:val="56085F32"/>
    <w:rsid w:val="560B6EB6"/>
    <w:rsid w:val="582F7ABC"/>
    <w:rsid w:val="587902B5"/>
    <w:rsid w:val="5A5468C1"/>
    <w:rsid w:val="5A754877"/>
    <w:rsid w:val="5C6E0B06"/>
    <w:rsid w:val="5C7B5EC6"/>
    <w:rsid w:val="5DAD753D"/>
    <w:rsid w:val="5FF32769"/>
    <w:rsid w:val="600D5DA2"/>
    <w:rsid w:val="60EA7D0F"/>
    <w:rsid w:val="61444A27"/>
    <w:rsid w:val="62987ED1"/>
    <w:rsid w:val="629D5670"/>
    <w:rsid w:val="632B573B"/>
    <w:rsid w:val="63482836"/>
    <w:rsid w:val="64A5552C"/>
    <w:rsid w:val="64AD03BA"/>
    <w:rsid w:val="650C1A58"/>
    <w:rsid w:val="66FE4406"/>
    <w:rsid w:val="6A3B6DF6"/>
    <w:rsid w:val="6B357E8B"/>
    <w:rsid w:val="6B721A2E"/>
    <w:rsid w:val="6C352415"/>
    <w:rsid w:val="6C90182A"/>
    <w:rsid w:val="6D5B17B0"/>
    <w:rsid w:val="6DBB3B60"/>
    <w:rsid w:val="6DBD204F"/>
    <w:rsid w:val="6DDF4A67"/>
    <w:rsid w:val="6E615BFD"/>
    <w:rsid w:val="6E6A0D4E"/>
    <w:rsid w:val="6ED10099"/>
    <w:rsid w:val="6F2F0361"/>
    <w:rsid w:val="6F401113"/>
    <w:rsid w:val="6FA64074"/>
    <w:rsid w:val="716B31A7"/>
    <w:rsid w:val="71A12E7C"/>
    <w:rsid w:val="71BE3C1E"/>
    <w:rsid w:val="72F65D2C"/>
    <w:rsid w:val="735A1725"/>
    <w:rsid w:val="7376290A"/>
    <w:rsid w:val="73CA3B4B"/>
    <w:rsid w:val="73DD7FA9"/>
    <w:rsid w:val="74B01C78"/>
    <w:rsid w:val="74B46F86"/>
    <w:rsid w:val="74C9464C"/>
    <w:rsid w:val="755E741F"/>
    <w:rsid w:val="75B15BA4"/>
    <w:rsid w:val="76D34653"/>
    <w:rsid w:val="770D0D85"/>
    <w:rsid w:val="77DC6B36"/>
    <w:rsid w:val="77E7E675"/>
    <w:rsid w:val="78C00D2A"/>
    <w:rsid w:val="78C96AF8"/>
    <w:rsid w:val="795F1B2D"/>
    <w:rsid w:val="796E4346"/>
    <w:rsid w:val="798827DC"/>
    <w:rsid w:val="7A993E33"/>
    <w:rsid w:val="7B5A2BED"/>
    <w:rsid w:val="7B605DDE"/>
    <w:rsid w:val="7B7E15E3"/>
    <w:rsid w:val="7BA342E6"/>
    <w:rsid w:val="7BA8076D"/>
    <w:rsid w:val="7BBBD921"/>
    <w:rsid w:val="7CB70CCE"/>
    <w:rsid w:val="7D0FC9BB"/>
    <w:rsid w:val="7D7A5D85"/>
    <w:rsid w:val="7DAC213C"/>
    <w:rsid w:val="7DD65D40"/>
    <w:rsid w:val="7DD84285"/>
    <w:rsid w:val="7E7D753D"/>
    <w:rsid w:val="7E7E2495"/>
    <w:rsid w:val="7EAE0A66"/>
    <w:rsid w:val="7EDF3D6D"/>
    <w:rsid w:val="7FEE7EA9"/>
    <w:rsid w:val="7FF554F9"/>
    <w:rsid w:val="AE5B579F"/>
    <w:rsid w:val="CBF90EBC"/>
    <w:rsid w:val="DFF7908D"/>
    <w:rsid w:val="DFFF7C04"/>
    <w:rsid w:val="EFEFB9FB"/>
    <w:rsid w:val="F7FB01AB"/>
    <w:rsid w:val="FAFF09E8"/>
    <w:rsid w:val="FB6AAA32"/>
    <w:rsid w:val="FE67F900"/>
    <w:rsid w:val="FEDFE333"/>
    <w:rsid w:val="FF6745EA"/>
    <w:rsid w:val="FF7C8F01"/>
    <w:rsid w:val="FFFF3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ind w:left="460"/>
    </w:pPr>
    <w:rPr>
      <w:rFonts w:ascii="仿宋" w:hAnsi="仿宋" w:eastAsia="仿宋" w:cs="仿宋"/>
      <w:sz w:val="28"/>
      <w:szCs w:val="28"/>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10">
    <w:name w:val="font01"/>
    <w:basedOn w:val="9"/>
    <w:qFormat/>
    <w:uiPriority w:val="0"/>
    <w:rPr>
      <w:rFonts w:hint="eastAsia" w:ascii="宋体" w:hAnsi="宋体" w:eastAsia="宋体" w:cs="宋体"/>
      <w:color w:val="000000"/>
      <w:sz w:val="22"/>
      <w:szCs w:val="22"/>
      <w:u w:val="none"/>
    </w:rPr>
  </w:style>
  <w:style w:type="character" w:customStyle="1" w:styleId="11">
    <w:name w:val="font51"/>
    <w:basedOn w:val="9"/>
    <w:qFormat/>
    <w:uiPriority w:val="0"/>
    <w:rPr>
      <w:rFonts w:ascii="微软雅黑" w:hAnsi="微软雅黑" w:eastAsia="微软雅黑" w:cs="微软雅黑"/>
      <w:color w:val="000000"/>
      <w:sz w:val="22"/>
      <w:szCs w:val="22"/>
      <w:u w:val="none"/>
    </w:rPr>
  </w:style>
  <w:style w:type="character" w:customStyle="1" w:styleId="12">
    <w:name w:val="font61"/>
    <w:basedOn w:val="9"/>
    <w:qFormat/>
    <w:uiPriority w:val="0"/>
    <w:rPr>
      <w:rFonts w:ascii="汉仪细圆B5" w:hAnsi="汉仪细圆B5" w:eastAsia="汉仪细圆B5" w:cs="汉仪细圆B5"/>
      <w:color w:val="000000"/>
      <w:sz w:val="22"/>
      <w:szCs w:val="22"/>
      <w:u w:val="none"/>
    </w:rPr>
  </w:style>
  <w:style w:type="character" w:customStyle="1" w:styleId="13">
    <w:name w:val="font71"/>
    <w:basedOn w:val="9"/>
    <w:qFormat/>
    <w:uiPriority w:val="0"/>
    <w:rPr>
      <w:rFonts w:hint="eastAsia" w:ascii="宋体" w:hAnsi="宋体" w:eastAsia="宋体" w:cs="宋体"/>
      <w:color w:val="4874CB"/>
      <w:sz w:val="22"/>
      <w:szCs w:val="22"/>
      <w:u w:val="none"/>
    </w:rPr>
  </w:style>
  <w:style w:type="character" w:customStyle="1" w:styleId="14">
    <w:name w:val="font81"/>
    <w:basedOn w:val="9"/>
    <w:qFormat/>
    <w:uiPriority w:val="0"/>
    <w:rPr>
      <w:rFonts w:hint="eastAsia" w:ascii="宋体" w:hAnsi="宋体" w:eastAsia="宋体" w:cs="宋体"/>
      <w:color w:val="E54C5E"/>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2302</Words>
  <Characters>2338</Characters>
  <Lines>0</Lines>
  <Paragraphs>0</Paragraphs>
  <TotalTime>38</TotalTime>
  <ScaleCrop>false</ScaleCrop>
  <LinksUpToDate>false</LinksUpToDate>
  <CharactersWithSpaces>2340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2024-12-06T09:54:00Z</dcterms:created>
  <dc:creator>Administrator</dc:creator>
  <cp:lastModifiedBy>kylin</cp:lastModifiedBy>
  <cp:lastPrinted>2026-05-27T08:56:00Z</cp:lastPrinted>
  <dcterms:modified xsi:type="dcterms:W3CDTF">2026-07-14T17:12:24Z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26F9DED1DC8690A9B1FC556AF15A1564_43</vt:lpwstr>
  </property>
  <property fmtid="{D5CDD505-2E9C-101B-9397-08002B2CF9AE}" pid="4" name="KSOTemplateDocerSaveRecord">
    <vt:lpwstr>eyJoZGlkIjoiMTc3ZmU2MDk1MGVkNGE5MWM3NjI5MjBmODcyOTIzZGYiLCJ1c2VySWQiOiIxMzAzNzM5MzUxIn0=</vt:lpwstr>
  </property>
</Properties>
</file>