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7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993"/>
        <w:gridCol w:w="1275"/>
        <w:gridCol w:w="725"/>
        <w:gridCol w:w="968"/>
        <w:gridCol w:w="142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群众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体育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活动专项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3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南县文化旅游广电体育局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南县文化旅游广电体育局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100％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3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3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3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为群众提供各式各样的体育赛事活动，丰富人民群众日常生活，营造全民健身氛围。　　</w:t>
            </w:r>
          </w:p>
        </w:tc>
        <w:tc>
          <w:tcPr>
            <w:tcW w:w="439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2025年度严格按照绩效目标要求，全面保障群众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体育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活动正常开展，圆满完成全年各项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体育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活动任务，有效满足群众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日益增长的健身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需求。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7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产出指标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开展群众体育赛事活动次数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≥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6场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6场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体育培训次数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≥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2次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2次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体育培训次数工作合格率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≥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90％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100％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开展群众体育赛事工作合格率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≥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90％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100％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群众体育赛事活动完成时间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=1年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体育培训完成时间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=1年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群众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体育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活动专项经费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≤1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万元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1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万元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（30分）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保障该项目正常运转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有效保障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有效保障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27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将待进一步提升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群众满意度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≥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90％</w:t>
            </w:r>
          </w:p>
        </w:tc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98％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97</w:t>
            </w:r>
          </w:p>
        </w:tc>
        <w:tc>
          <w:tcPr>
            <w:tcW w:w="14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sectPr>
          <w:headerReference r:id="rId3" w:type="default"/>
          <w:footerReference r:id="rId4" w:type="default"/>
          <w:pgSz w:w="11906" w:h="16838"/>
          <w:pgMar w:top="1928" w:right="1304" w:bottom="1531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填报日期：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 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7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828"/>
        <w:gridCol w:w="873"/>
        <w:gridCol w:w="14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群众文化活动专项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南县文化旅游广电体育局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南县文化旅游广电体育局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　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13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确保群众文化活动正常开展　　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2025年度严格按照绩效目标要求，全面保障群众文化活动正常开展，圆满完成全年各项文化活动任务，有效满足群众精神文化需求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产出指标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全年举办活动场次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≥3场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3场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15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15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举办活动合格率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≥90%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%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15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15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举办活动完成时间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=1年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1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1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群众文化活动专项经费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≤13万元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13万元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2" w:hRule="atLeast"/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（30分）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经济效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保障群众文化活动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ab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定性（有效保障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有效保障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ab/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将待进一步提升</w:t>
            </w:r>
          </w:p>
        </w:tc>
      </w:tr>
      <w:tr>
        <w:trPr>
          <w:jc w:val="center"/>
        </w:trPr>
        <w:tc>
          <w:tcPr>
            <w:tcW w:w="108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群众满意度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≥90%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%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97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sectPr>
          <w:headerReference r:id="rId5" w:type="default"/>
          <w:footerReference r:id="rId6" w:type="default"/>
          <w:pgSz w:w="11906" w:h="16838"/>
          <w:pgMar w:top="1928" w:right="1304" w:bottom="1531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填报日期：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 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7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1068"/>
        <w:gridCol w:w="1060"/>
        <w:gridCol w:w="1362"/>
        <w:gridCol w:w="1087"/>
        <w:gridCol w:w="1059"/>
        <w:gridCol w:w="889"/>
        <w:gridCol w:w="870"/>
        <w:gridCol w:w="13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8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图书馆购书经费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南县文化旅游广电体育局</w:t>
            </w:r>
          </w:p>
        </w:tc>
        <w:tc>
          <w:tcPr>
            <w:tcW w:w="1059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4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南县文化旅游广电体育局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10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2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rPr>
          <w:jc w:val="center"/>
        </w:trPr>
        <w:tc>
          <w:tcPr>
            <w:tcW w:w="106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106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77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　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确保购书工作顺利开展。</w:t>
            </w:r>
          </w:p>
        </w:tc>
        <w:tc>
          <w:tcPr>
            <w:tcW w:w="42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2025年度严格按照绩效目标要求，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预期目标顺利完成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3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0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0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产出指标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购书本数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2000册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2000册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12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购书本数合格率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90%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100</w:t>
            </w:r>
            <w:r>
              <w:rPr>
                <w:rFonts w:hint="eastAsia" w:ascii="仿宋_GB2312" w:hAnsi="仿宋_GB2312" w:eastAsia="仿宋_GB2312" w:cs="仿宋_GB2312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购书完成时间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=1年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=1年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图书馆购书经费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≤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5万元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5万元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（30分）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经济效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促进地方经济发展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促进地方经济发展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Arial" w:hAnsi="Calibri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将待进一步提升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保障该项目正常运转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定性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有效保障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8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将待进一步提升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生态效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创造良好文化建设氛围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创造良好文化建设氛围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Arial" w:hAnsi="Calibri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可持续影响指标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充分发挥服务职能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充分发挥服务职能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Arial" w:hAnsi="Calibri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3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  <w:t>服务对象满意</w:t>
            </w:r>
          </w:p>
        </w:tc>
        <w:tc>
          <w:tcPr>
            <w:tcW w:w="1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≥90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</w:t>
            </w:r>
          </w:p>
        </w:tc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Arial" w:hAnsi="Calibri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98</w:t>
            </w:r>
            <w:r>
              <w:rPr>
                <w:rFonts w:hint="eastAsia" w:eastAsia="宋体"/>
                <w:sz w:val="20"/>
                <w:szCs w:val="20"/>
                <w:lang w:val="en-US" w:eastAsia="zh-CN"/>
              </w:rPr>
              <w:t>%</w:t>
            </w:r>
          </w:p>
        </w:tc>
        <w:tc>
          <w:tcPr>
            <w:tcW w:w="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670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96</w:t>
            </w:r>
          </w:p>
        </w:tc>
        <w:tc>
          <w:tcPr>
            <w:tcW w:w="13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sectPr>
          <w:headerReference r:id="rId7" w:type="default"/>
          <w:footerReference r:id="rId8" w:type="default"/>
          <w:pgSz w:w="11906" w:h="16838"/>
          <w:pgMar w:top="1928" w:right="1304" w:bottom="1531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填报日期：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 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7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374"/>
        <w:gridCol w:w="1096"/>
        <w:gridCol w:w="1022"/>
        <w:gridCol w:w="828"/>
        <w:gridCol w:w="873"/>
        <w:gridCol w:w="14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少年体校建设和学生培养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6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南县</w:t>
            </w: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</w:rPr>
              <w:t>文化旅游广电体育局</w:t>
            </w:r>
          </w:p>
        </w:tc>
        <w:tc>
          <w:tcPr>
            <w:tcW w:w="102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eastAsia="仿宋_GB2312"/>
                <w:color w:val="000000"/>
                <w:sz w:val="20"/>
                <w:szCs w:val="20"/>
              </w:rPr>
              <w:t>南县</w:t>
            </w:r>
            <w:r>
              <w:rPr>
                <w:rFonts w:hint="eastAsia" w:ascii="Times New Roman" w:hAnsi="Times New Roman" w:eastAsia="仿宋_GB2312"/>
                <w:color w:val="000000"/>
                <w:sz w:val="20"/>
                <w:szCs w:val="20"/>
              </w:rPr>
              <w:t>文化旅游广电体育局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50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50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50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50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50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50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3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2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6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1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9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积极实施奥运争光计划和全民健身国家战略，发现和培养我县优秀体育后备人才，提高竞技体育水平。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　</w:t>
            </w:r>
          </w:p>
        </w:tc>
        <w:tc>
          <w:tcPr>
            <w:tcW w:w="41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2025年度严格按照绩效目标要求，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预期目标顺利完成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绩</w:t>
            </w:r>
          </w:p>
          <w:p>
            <w:pPr>
              <w:widowControl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效</w:t>
            </w:r>
          </w:p>
          <w:p>
            <w:pPr>
              <w:widowControl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指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一级指标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二级指标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三级指标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指标值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完成值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分值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得分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偏差原因</w:t>
            </w:r>
          </w:p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分析及</w:t>
            </w:r>
          </w:p>
          <w:p>
            <w:pPr>
              <w:widowControl/>
              <w:spacing w:line="2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产出指标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0分</w:t>
            </w: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数量指标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发现和培养体育后备人才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≥1200人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1200人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质量指标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体育后备人才参赛水平合格率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Arial" w:hAnsi="Arial" w:eastAsia="宋体" w:cs="Arial"/>
                <w:sz w:val="20"/>
                <w:szCs w:val="20"/>
                <w:lang w:val="en-US" w:eastAsia="zh-CN"/>
              </w:rPr>
              <w:t>≥</w:t>
            </w: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  <w:t>100%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15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时效指标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发现和培养体育后备人才工作完成时间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=1年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1年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成本指标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少年体校建设和学生培养</w:t>
            </w: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Cs w:val="21"/>
                <w:lang w:val="en-US" w:eastAsia="zh-CN"/>
              </w:rPr>
              <w:t>专项资金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</w:t>
            </w: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Cs w:val="21"/>
                <w:lang w:val="en-US" w:eastAsia="zh-CN"/>
              </w:rPr>
              <w:t>0万元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50万</w:t>
            </w:r>
            <w:r>
              <w:rPr>
                <w:rFonts w:hint="eastAsia" w:ascii="Times New Roman" w:hAnsi="Times New Roman" w:eastAsia="方正仿宋_GB2312" w:cs="Times New Roman"/>
                <w:color w:val="000000"/>
                <w:kern w:val="0"/>
                <w:szCs w:val="21"/>
                <w:lang w:val="en-US" w:eastAsia="zh-CN"/>
              </w:rPr>
              <w:t>元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效益指标</w:t>
            </w:r>
          </w:p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（30分）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社会效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益指标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提高我县竞技体育水平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有效提高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有效提高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30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将待进一步提升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满意度</w:t>
            </w:r>
          </w:p>
          <w:p>
            <w:pPr>
              <w:widowControl/>
              <w:jc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指标</w:t>
            </w:r>
          </w:p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（1</w:t>
            </w:r>
            <w:r>
              <w:rPr>
                <w:rFonts w:hint="eastAsia" w:eastAsia="方正仿宋_GB2312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服务对象满意度指标</w:t>
            </w:r>
          </w:p>
        </w:tc>
        <w:tc>
          <w:tcPr>
            <w:tcW w:w="13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学生满意度</w:t>
            </w:r>
          </w:p>
        </w:tc>
        <w:tc>
          <w:tcPr>
            <w:tcW w:w="10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≥90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%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95%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总分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方正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sectPr>
          <w:headerReference r:id="rId9" w:type="default"/>
          <w:footerReference r:id="rId10" w:type="default"/>
          <w:pgSz w:w="11906" w:h="16838"/>
          <w:pgMar w:top="1928" w:right="1304" w:bottom="1531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填报日期：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 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7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828"/>
        <w:gridCol w:w="873"/>
        <w:gridCol w:w="14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文物保护专项经费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南县文化旅游广电体育局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南县文化旅游广电体育局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　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确保文物保护宣传、巡查顺利开展。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2025年度严格按照绩效目标要求，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预期目标顺利完成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产出指标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分)</w:t>
            </w: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文物安全巡查次数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40次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40次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文保宣传活动次数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4次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文物安全巡查合格率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90%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文保宣传活动合格率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90%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文物安全巡查完成时间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文保宣传活动完成时间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文物保护专项经费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≤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4万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（30分）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确保文物安全管理，文化遗产宣传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有效保障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有效保障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将待进一步提升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服务对象满意度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90%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98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</w:pPr>
    </w:p>
    <w:p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sectPr>
          <w:headerReference r:id="rId11" w:type="default"/>
          <w:footerReference r:id="rId12" w:type="default"/>
          <w:pgSz w:w="11906" w:h="16838"/>
          <w:pgMar w:top="1928" w:right="1304" w:bottom="1531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填报日期：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 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7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828"/>
        <w:gridCol w:w="873"/>
        <w:gridCol w:w="14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博物馆讲解员队伍建设经费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南县文化旅游广电体育局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南县文化旅游广电体育局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博物馆讲解员队伍建设。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　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2025年度严格按照绩效目标要求，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预期目标顺利完成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产出指标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讲解员培训次数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1次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1次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讲解员培训完成合格率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讲解员培训完成时间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＝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博物馆讲解员队伍建设经费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≤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3万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（30分）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益指标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培养讲解员人才，营造良好文化建设氛围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有效保障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有效保障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将待进一步提升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服务对象满意度指标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服务对象满意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90%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98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总分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97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sectPr>
          <w:headerReference r:id="rId13" w:type="default"/>
          <w:footerReference r:id="rId14" w:type="default"/>
          <w:pgSz w:w="11906" w:h="16838"/>
          <w:pgMar w:top="1928" w:right="1304" w:bottom="1531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填报日期：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 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7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828"/>
        <w:gridCol w:w="873"/>
        <w:gridCol w:w="14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残疾军人假肢费用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南县文化旅游广电体育局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南县文化旅游广电体育局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1.27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1.27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1.27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1.27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1.27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1.27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保障残疾军人的生活质量，促进社会稳定和谐。（图书馆残疾军人石新田）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2025年度严格按照绩效目标要求，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预期目标顺利完成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产出指标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残疾军人假肢费及营养补助受益人数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人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人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残疾军人假肢费及营养补助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残疾军人假肢费及营养补助发放时间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＝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残疾军人假肢费用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≤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1.27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1.27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万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（30分）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益指标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促进社会和谐稳定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应保尽保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应保尽保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将待进一步提升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服务对象满意度指标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服务对象满意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90%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0%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总分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98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sectPr>
          <w:headerReference r:id="rId15" w:type="default"/>
          <w:footerReference r:id="rId16" w:type="default"/>
          <w:pgSz w:w="11906" w:h="16838"/>
          <w:pgMar w:top="1928" w:right="1304" w:bottom="1531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填报日期：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 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7"/>
        <w:tblW w:w="1007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2"/>
        <w:gridCol w:w="1055"/>
        <w:gridCol w:w="996"/>
        <w:gridCol w:w="171"/>
        <w:gridCol w:w="1070"/>
        <w:gridCol w:w="189"/>
        <w:gridCol w:w="1098"/>
        <w:gridCol w:w="70"/>
        <w:gridCol w:w="1167"/>
        <w:gridCol w:w="10"/>
        <w:gridCol w:w="709"/>
        <w:gridCol w:w="133"/>
        <w:gridCol w:w="898"/>
        <w:gridCol w:w="75"/>
        <w:gridCol w:w="13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9027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保基本民生专项博物馆、纪念馆免费开放补助和公共美术馆、图书馆、文化馆（站）免费开放补助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南县文化旅游广电体育局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21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南县文化旅游广电体育局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得分</w:t>
            </w:r>
          </w:p>
        </w:tc>
      </w:tr>
      <w:tr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/>
                <w:lang w:val="en-US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129.6</w:t>
            </w: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129.6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129.6</w:t>
            </w:r>
          </w:p>
        </w:tc>
        <w:tc>
          <w:tcPr>
            <w:tcW w:w="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129.6</w:t>
            </w: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129.6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129.6</w:t>
            </w:r>
          </w:p>
        </w:tc>
        <w:tc>
          <w:tcPr>
            <w:tcW w:w="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2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5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rPr>
          <w:jc w:val="center"/>
        </w:trPr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3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64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维持博物馆、纪念馆、图书馆、乡镇文化站的免费开放。</w:t>
            </w:r>
          </w:p>
        </w:tc>
        <w:tc>
          <w:tcPr>
            <w:tcW w:w="437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2025年度严格按照绩效目标要求，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预期目标顺利完成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年度指标值</w:t>
            </w: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实际完成值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产出指标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乡镇文化站免费开放资金拨付金额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≥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12万元</w:t>
            </w: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12万元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纪念馆对外免费开放时长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≥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300天</w:t>
            </w: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300天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图书馆对外开放时长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≥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350天</w:t>
            </w: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350天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博物馆对外免费开放时长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≥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300天</w:t>
            </w: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300天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乡镇文化站免费开放运行合格率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纪念馆免费开放合格率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图书馆免费开放合格率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博物馆免费开放合格率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乡镇文化站免费开放资金拨付完成时间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＝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图书馆对外免费开放完成时间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＝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博物馆对外免费开放完成时间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＝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纪念馆对外免费开放完成时间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＝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9" w:hRule="atLeast"/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保基本民生专项博物馆、纪念馆免费开放补助和公共美术馆、图书馆、文化馆（站）免费开放补助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≤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129.6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万元</w:t>
            </w: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129.6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万元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（30分）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益指标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营造良好文化建设氛围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有效保障</w:t>
            </w: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有效保障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30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27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将待进一步提升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（10分）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服务对象满意度指标</w:t>
            </w:r>
          </w:p>
        </w:tc>
        <w:tc>
          <w:tcPr>
            <w:tcW w:w="12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服务对象满意</w:t>
            </w:r>
          </w:p>
        </w:tc>
        <w:tc>
          <w:tcPr>
            <w:tcW w:w="128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≥</w:t>
            </w:r>
            <w:r>
              <w:rPr>
                <w:rFonts w:hint="default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  <w:t>90%</w:t>
            </w:r>
          </w:p>
        </w:tc>
        <w:tc>
          <w:tcPr>
            <w:tcW w:w="12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95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87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总分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100</w:t>
            </w:r>
          </w:p>
        </w:tc>
        <w:tc>
          <w:tcPr>
            <w:tcW w:w="11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97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sectPr>
          <w:headerReference r:id="rId17" w:type="default"/>
          <w:footerReference r:id="rId18" w:type="default"/>
          <w:pgSz w:w="11906" w:h="16838"/>
          <w:pgMar w:top="1928" w:right="1304" w:bottom="1531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填报日期：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 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7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828"/>
        <w:gridCol w:w="873"/>
        <w:gridCol w:w="14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保基本民生图书馆免费开放配套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南县文化旅游广电体育局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南县文化旅游广电体育局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2.4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2.4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2.4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2.4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2.4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2.4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维持图书馆免费开放。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　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2025年度严格按照绩效目标要求，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预期目标顺利完成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产出指标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图书馆对外开放时长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≥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350天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350天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图书馆对外开放合格率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对外开放工作完成时间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＝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保基本民生图书馆免费开放配套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≤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3万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（30分）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益指标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营造良好读书氛围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有效保障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有效保障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服务对象满意度指标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服务对象满意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90%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98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总分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sectPr>
          <w:headerReference r:id="rId19" w:type="default"/>
          <w:footerReference r:id="rId20" w:type="default"/>
          <w:pgSz w:w="11906" w:h="16838"/>
          <w:pgMar w:top="1928" w:right="1304" w:bottom="1531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填报日期：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 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color w:val="000000"/>
          <w:sz w:val="36"/>
          <w:szCs w:val="36"/>
          <w:highlight w:val="none"/>
        </w:rPr>
        <w:t>年度项目支出绩效自评表</w:t>
      </w:r>
    </w:p>
    <w:tbl>
      <w:tblPr>
        <w:tblStyle w:val="7"/>
        <w:tblW w:w="985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224"/>
        <w:gridCol w:w="1134"/>
        <w:gridCol w:w="1134"/>
        <w:gridCol w:w="828"/>
        <w:gridCol w:w="873"/>
        <w:gridCol w:w="14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出名称</w:t>
            </w:r>
          </w:p>
        </w:tc>
        <w:tc>
          <w:tcPr>
            <w:tcW w:w="877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税金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主管部门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南县文化旅游广电体育局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实施单位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南县文化旅游广电体育局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项目资金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（万元）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预算数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全年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执行数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执行率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得分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年度资金总额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4.55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4.55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4.55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10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100%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其中：当年财政拨款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4.55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4.55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4.55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上年结转资金　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600" w:firstLineChars="300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其他资金</w:t>
            </w:r>
          </w:p>
        </w:tc>
        <w:tc>
          <w:tcPr>
            <w:tcW w:w="12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年度总体目标</w:t>
            </w: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预期目标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实际完成情况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108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45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缴税租金税款。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42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2025年度严格按照绩效目标要求，</w:t>
            </w:r>
            <w:r>
              <w:rPr>
                <w:rFonts w:hint="eastAsia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预期目标顺利完成</w:t>
            </w: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一级指标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二级指标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三级指标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指标值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实际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完成值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分值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得分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偏差原因分析及改进措施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产出指标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(50分)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数量指标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缴纳税金门面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≥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2间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2间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质量指标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确保税金缴纳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时效指标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按时税金缴纳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＝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成本指标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税金　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≤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4.55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万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4.55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万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效益指标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（30分）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社会效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益指标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长效管理机制健全性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有效保障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有效保障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26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08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满意度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指标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（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0分）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服务对象满意度指标</w:t>
            </w:r>
          </w:p>
        </w:tc>
        <w:tc>
          <w:tcPr>
            <w:tcW w:w="1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税金缴纳满意度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90%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98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%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eastAsia="zh-CN"/>
              </w:rPr>
              <w:t>无偏差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67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总分</w:t>
            </w:r>
          </w:p>
        </w:tc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100</w:t>
            </w:r>
          </w:p>
        </w:tc>
        <w:tc>
          <w:tcPr>
            <w:tcW w:w="8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　</w:t>
            </w:r>
            <w:r>
              <w:rPr>
                <w:rFonts w:hint="eastAsia" w:eastAsia="仿宋_GB2312" w:cs="Times New Roman"/>
                <w:color w:val="000000"/>
                <w:sz w:val="20"/>
                <w:szCs w:val="20"/>
                <w:highlight w:val="none"/>
                <w:lang w:val="en-US" w:eastAsia="zh-CN"/>
              </w:rPr>
              <w:t>96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highlight w:val="none"/>
              </w:rPr>
              <w:t>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备注：一个一级项目支出一张表。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如，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业务工作经费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</w:rPr>
        <w:t>运行维护经费</w:t>
      </w:r>
      <w:r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  <w:t>，其他事业发展类资金…各一张表。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18"/>
          <w:szCs w:val="18"/>
          <w:highlight w:val="none"/>
          <w:lang w:eastAsia="zh-CN"/>
        </w:rPr>
      </w:pPr>
    </w:p>
    <w:p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sectPr>
          <w:headerReference r:id="rId21" w:type="default"/>
          <w:footerReference r:id="rId22" w:type="default"/>
          <w:pgSz w:w="11906" w:h="16838"/>
          <w:pgMar w:top="1928" w:right="1304" w:bottom="1531" w:left="141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填报日期：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 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</w:t>
      </w:r>
    </w:p>
    <w:p>
      <w:pP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</w:pPr>
    </w:p>
    <w:sectPr>
      <w:headerReference r:id="rId23" w:type="default"/>
      <w:footerReference r:id="rId24" w:type="default"/>
      <w:pgSz w:w="11906" w:h="16838"/>
      <w:pgMar w:top="1928" w:right="1304" w:bottom="1531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- 14 -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- 14 -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- 14 -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- 14 -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- 14 -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- 14 -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- 14 -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- 14 -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- 14 -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- 14 -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- 14 -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5ZDFkMDAzMmU2ZGQyNTYzNzQwZWY3ODI5MmVkODcifQ=="/>
  </w:docVars>
  <w:rsids>
    <w:rsidRoot w:val="00172A27"/>
    <w:rsid w:val="00016E78"/>
    <w:rsid w:val="000517F6"/>
    <w:rsid w:val="0008268B"/>
    <w:rsid w:val="00095703"/>
    <w:rsid w:val="000F340A"/>
    <w:rsid w:val="00157788"/>
    <w:rsid w:val="00222A8C"/>
    <w:rsid w:val="00257791"/>
    <w:rsid w:val="002E08CB"/>
    <w:rsid w:val="0036518A"/>
    <w:rsid w:val="0038757F"/>
    <w:rsid w:val="0039402F"/>
    <w:rsid w:val="004354C2"/>
    <w:rsid w:val="004A4B3B"/>
    <w:rsid w:val="004C7F07"/>
    <w:rsid w:val="0062478A"/>
    <w:rsid w:val="00642F78"/>
    <w:rsid w:val="006450E8"/>
    <w:rsid w:val="00734C32"/>
    <w:rsid w:val="0075130B"/>
    <w:rsid w:val="00784DD9"/>
    <w:rsid w:val="007920AE"/>
    <w:rsid w:val="007C4736"/>
    <w:rsid w:val="008141AF"/>
    <w:rsid w:val="0084115E"/>
    <w:rsid w:val="0096017A"/>
    <w:rsid w:val="009F0C58"/>
    <w:rsid w:val="00B67D55"/>
    <w:rsid w:val="00B83B5A"/>
    <w:rsid w:val="00BE380A"/>
    <w:rsid w:val="00C06FFA"/>
    <w:rsid w:val="00C13032"/>
    <w:rsid w:val="00C22B81"/>
    <w:rsid w:val="00C75A34"/>
    <w:rsid w:val="00D66FC8"/>
    <w:rsid w:val="00D703E9"/>
    <w:rsid w:val="00E0714D"/>
    <w:rsid w:val="00ED18F7"/>
    <w:rsid w:val="00F24A42"/>
    <w:rsid w:val="02AC0AE4"/>
    <w:rsid w:val="03740046"/>
    <w:rsid w:val="03AE21D8"/>
    <w:rsid w:val="04874417"/>
    <w:rsid w:val="04D537EF"/>
    <w:rsid w:val="054D010C"/>
    <w:rsid w:val="074C13A1"/>
    <w:rsid w:val="07F41599"/>
    <w:rsid w:val="087B79DB"/>
    <w:rsid w:val="088F7561"/>
    <w:rsid w:val="09922893"/>
    <w:rsid w:val="0B8A0A96"/>
    <w:rsid w:val="0C243577"/>
    <w:rsid w:val="0C9A348B"/>
    <w:rsid w:val="0D101E50"/>
    <w:rsid w:val="0EA80D14"/>
    <w:rsid w:val="0EDD710A"/>
    <w:rsid w:val="0EE82E08"/>
    <w:rsid w:val="0EF56BDD"/>
    <w:rsid w:val="0F824F30"/>
    <w:rsid w:val="0FC40971"/>
    <w:rsid w:val="11FF360E"/>
    <w:rsid w:val="1347407F"/>
    <w:rsid w:val="163255EA"/>
    <w:rsid w:val="1802441C"/>
    <w:rsid w:val="18E727F8"/>
    <w:rsid w:val="19F6645A"/>
    <w:rsid w:val="1B5543AE"/>
    <w:rsid w:val="1D280CE8"/>
    <w:rsid w:val="1D2E4D49"/>
    <w:rsid w:val="1DC964EA"/>
    <w:rsid w:val="1DF83475"/>
    <w:rsid w:val="1F8B184A"/>
    <w:rsid w:val="209716B3"/>
    <w:rsid w:val="213A0DBD"/>
    <w:rsid w:val="21696A82"/>
    <w:rsid w:val="22E31FB3"/>
    <w:rsid w:val="23C205BE"/>
    <w:rsid w:val="23CC7105"/>
    <w:rsid w:val="2470542F"/>
    <w:rsid w:val="26FDF1B0"/>
    <w:rsid w:val="27EE37D4"/>
    <w:rsid w:val="283F1A51"/>
    <w:rsid w:val="2962117A"/>
    <w:rsid w:val="2B4F7403"/>
    <w:rsid w:val="2F0B00CE"/>
    <w:rsid w:val="2FB80920"/>
    <w:rsid w:val="2FBC00A2"/>
    <w:rsid w:val="2FF1ED9C"/>
    <w:rsid w:val="301B68D7"/>
    <w:rsid w:val="32B006D0"/>
    <w:rsid w:val="33A17DDB"/>
    <w:rsid w:val="33E20459"/>
    <w:rsid w:val="340E6BDC"/>
    <w:rsid w:val="3611147B"/>
    <w:rsid w:val="36B5561E"/>
    <w:rsid w:val="38FE5B71"/>
    <w:rsid w:val="3A141AFE"/>
    <w:rsid w:val="3A4B5971"/>
    <w:rsid w:val="3D5C12BD"/>
    <w:rsid w:val="3DD63AA0"/>
    <w:rsid w:val="3E963FD6"/>
    <w:rsid w:val="3F34210E"/>
    <w:rsid w:val="3FAA65CF"/>
    <w:rsid w:val="41BD4CE5"/>
    <w:rsid w:val="420834A4"/>
    <w:rsid w:val="42D62877"/>
    <w:rsid w:val="4367222D"/>
    <w:rsid w:val="43931449"/>
    <w:rsid w:val="468D6B40"/>
    <w:rsid w:val="46F80A40"/>
    <w:rsid w:val="472B65B5"/>
    <w:rsid w:val="48345886"/>
    <w:rsid w:val="49252813"/>
    <w:rsid w:val="49740A6F"/>
    <w:rsid w:val="4A944BE6"/>
    <w:rsid w:val="4BDA55E6"/>
    <w:rsid w:val="4D425653"/>
    <w:rsid w:val="4E8809F6"/>
    <w:rsid w:val="4E9E6768"/>
    <w:rsid w:val="4FDBCD74"/>
    <w:rsid w:val="4FE37EA2"/>
    <w:rsid w:val="518F3376"/>
    <w:rsid w:val="525C5F8D"/>
    <w:rsid w:val="537F1368"/>
    <w:rsid w:val="564940C9"/>
    <w:rsid w:val="588C5A61"/>
    <w:rsid w:val="592A6ABE"/>
    <w:rsid w:val="598602B6"/>
    <w:rsid w:val="5A266C80"/>
    <w:rsid w:val="5B223DC7"/>
    <w:rsid w:val="5BBD28AC"/>
    <w:rsid w:val="5C5B1CAF"/>
    <w:rsid w:val="5DBA0848"/>
    <w:rsid w:val="5F836B23"/>
    <w:rsid w:val="5F8A3717"/>
    <w:rsid w:val="5FFEE993"/>
    <w:rsid w:val="60F94CA5"/>
    <w:rsid w:val="62B97655"/>
    <w:rsid w:val="62E01E19"/>
    <w:rsid w:val="659B2F51"/>
    <w:rsid w:val="65B66C39"/>
    <w:rsid w:val="66A47BB8"/>
    <w:rsid w:val="67B3FBF1"/>
    <w:rsid w:val="68797FAC"/>
    <w:rsid w:val="6947264B"/>
    <w:rsid w:val="696F3EA8"/>
    <w:rsid w:val="6A1F0C58"/>
    <w:rsid w:val="6AFA70CB"/>
    <w:rsid w:val="6C4705FD"/>
    <w:rsid w:val="6C551141"/>
    <w:rsid w:val="6D1F2460"/>
    <w:rsid w:val="6E151D01"/>
    <w:rsid w:val="6E463D9C"/>
    <w:rsid w:val="6F495B4E"/>
    <w:rsid w:val="704A6210"/>
    <w:rsid w:val="70D2469B"/>
    <w:rsid w:val="7171260C"/>
    <w:rsid w:val="71D82BCE"/>
    <w:rsid w:val="732C3BB6"/>
    <w:rsid w:val="77567657"/>
    <w:rsid w:val="77FD886A"/>
    <w:rsid w:val="783E0A08"/>
    <w:rsid w:val="78DC6585"/>
    <w:rsid w:val="78F52843"/>
    <w:rsid w:val="7A7835C5"/>
    <w:rsid w:val="7D164D84"/>
    <w:rsid w:val="7D8661DC"/>
    <w:rsid w:val="7DCD7BD3"/>
    <w:rsid w:val="7DEF2AB6"/>
    <w:rsid w:val="7DF90BE0"/>
    <w:rsid w:val="7EF2064A"/>
    <w:rsid w:val="9BDDA761"/>
    <w:rsid w:val="9EFE4685"/>
    <w:rsid w:val="BDFE7D59"/>
    <w:rsid w:val="BFFB5203"/>
    <w:rsid w:val="DDFF30D4"/>
    <w:rsid w:val="E5FBEFCC"/>
    <w:rsid w:val="EF5FDFA7"/>
    <w:rsid w:val="EF7F7C41"/>
    <w:rsid w:val="F5E678D3"/>
    <w:rsid w:val="FAFB7A2C"/>
    <w:rsid w:val="FDDD2B54"/>
    <w:rsid w:val="FDED481F"/>
    <w:rsid w:val="FFE08BC1"/>
    <w:rsid w:val="FFF429D9"/>
    <w:rsid w:val="FFFF43C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link w:val="9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 Char Char Char Char Char Char1"/>
    <w:basedOn w:val="1"/>
    <w:link w:val="8"/>
    <w:qFormat/>
    <w:uiPriority w:val="0"/>
    <w:rPr>
      <w:rFonts w:ascii="Tahoma" w:hAnsi="Tahoma"/>
      <w:sz w:val="24"/>
      <w:szCs w:val="20"/>
    </w:rPr>
  </w:style>
  <w:style w:type="character" w:styleId="10">
    <w:name w:val="page number"/>
    <w:basedOn w:val="8"/>
    <w:qFormat/>
    <w:uiPriority w:val="0"/>
  </w:style>
  <w:style w:type="paragraph" w:customStyle="1" w:styleId="11">
    <w:name w:val="BodyText1I"/>
    <w:basedOn w:val="1"/>
    <w:qFormat/>
    <w:uiPriority w:val="99"/>
    <w:pPr>
      <w:snapToGrid w:val="0"/>
      <w:spacing w:beforeAutospacing="0" w:afterAutospacing="0" w:line="360" w:lineRule="auto"/>
      <w:ind w:firstLine="420" w:firstLineChars="100"/>
    </w:pPr>
    <w:rPr>
      <w:sz w:val="28"/>
      <w:szCs w:val="20"/>
    </w:rPr>
  </w:style>
  <w:style w:type="paragraph" w:styleId="12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theme" Target="theme/theme1.xml"/><Relationship Id="rId24" Type="http://schemas.openxmlformats.org/officeDocument/2006/relationships/footer" Target="footer11.xml"/><Relationship Id="rId23" Type="http://schemas.openxmlformats.org/officeDocument/2006/relationships/header" Target="header11.xml"/><Relationship Id="rId22" Type="http://schemas.openxmlformats.org/officeDocument/2006/relationships/footer" Target="footer10.xml"/><Relationship Id="rId21" Type="http://schemas.openxmlformats.org/officeDocument/2006/relationships/header" Target="header10.xml"/><Relationship Id="rId20" Type="http://schemas.openxmlformats.org/officeDocument/2006/relationships/footer" Target="footer9.xml"/><Relationship Id="rId2" Type="http://schemas.openxmlformats.org/officeDocument/2006/relationships/settings" Target="settings.xml"/><Relationship Id="rId19" Type="http://schemas.openxmlformats.org/officeDocument/2006/relationships/header" Target="header9.xml"/><Relationship Id="rId18" Type="http://schemas.openxmlformats.org/officeDocument/2006/relationships/footer" Target="footer8.xml"/><Relationship Id="rId17" Type="http://schemas.openxmlformats.org/officeDocument/2006/relationships/header" Target="header8.xml"/><Relationship Id="rId16" Type="http://schemas.openxmlformats.org/officeDocument/2006/relationships/footer" Target="footer7.xml"/><Relationship Id="rId15" Type="http://schemas.openxmlformats.org/officeDocument/2006/relationships/header" Target="head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footer" Target="footer5.xml"/><Relationship Id="rId11" Type="http://schemas.openxmlformats.org/officeDocument/2006/relationships/header" Target="header5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5235</Words>
  <Characters>5999</Characters>
  <Lines>69</Lines>
  <Paragraphs>19</Paragraphs>
  <TotalTime>8</TotalTime>
  <ScaleCrop>false</ScaleCrop>
  <LinksUpToDate>false</LinksUpToDate>
  <CharactersWithSpaces>6406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2018-03-18T17:03:00Z</dcterms:created>
  <dc:creator>Windows 用户</dc:creator>
  <cp:lastModifiedBy>kylin</cp:lastModifiedBy>
  <cp:lastPrinted>2026-03-23T18:42:00Z</cp:lastPrinted>
  <dcterms:modified xsi:type="dcterms:W3CDTF">2026-09-18T09:54:47Z</dcterms:modified>
  <dc:title>关于开展2016年度一般公共预算资金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KSOSaveFontToCloudKey">
    <vt:lpwstr>497132290_btnclosed</vt:lpwstr>
  </property>
  <property fmtid="{D5CDD505-2E9C-101B-9397-08002B2CF9AE}" pid="4" name="ICV">
    <vt:lpwstr>0D93044E65A3A6DAE799AC6AA446C993</vt:lpwstr>
  </property>
  <property fmtid="{D5CDD505-2E9C-101B-9397-08002B2CF9AE}" pid="5" name="KSOTemplateDocerSaveRecord">
    <vt:lpwstr>eyJoZGlkIjoiZjQ1ZmNmNjA3MzUxNGE5MTdlYzY3ZDk3M2EyNzc5YzIiLCJ1c2VySWQiOiIyMzU2NjMwMzYifQ==</vt:lpwstr>
  </property>
</Properties>
</file>