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FA4E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pacing w:val="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11"/>
          <w:sz w:val="32"/>
          <w:szCs w:val="32"/>
          <w:lang w:val="en-US" w:eastAsia="zh-CN"/>
        </w:rPr>
        <w:t>附件1</w:t>
      </w:r>
    </w:p>
    <w:p w14:paraId="26D69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spacing w:val="20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_GBK" w:cs="Times New Roman"/>
          <w:spacing w:val="20"/>
          <w:sz w:val="44"/>
          <w:szCs w:val="44"/>
          <w:lang w:val="en-US" w:eastAsia="zh-CN"/>
        </w:rPr>
        <w:t>湖南省双季稻大面积单产提升“六增两控” 技术清单</w:t>
      </w:r>
      <w:bookmarkEnd w:id="0"/>
    </w:p>
    <w:p w14:paraId="698DB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spacing w:val="20"/>
          <w:sz w:val="44"/>
          <w:szCs w:val="44"/>
          <w:lang w:val="en-US" w:eastAsia="zh-CN"/>
        </w:rPr>
      </w:pPr>
    </w:p>
    <w:p w14:paraId="2FBEB1F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84" w:firstLineChars="200"/>
        <w:textAlignment w:val="auto"/>
        <w:rPr>
          <w:rFonts w:hint="eastAsia" w:ascii="方正黑体_GBK" w:hAnsi="方正黑体_GBK" w:eastAsia="方正黑体_GBK" w:cs="方正黑体_GBK"/>
          <w:spacing w:val="11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11"/>
          <w:sz w:val="32"/>
          <w:szCs w:val="32"/>
          <w:lang w:val="en-US" w:eastAsia="zh-CN"/>
        </w:rPr>
        <w:t>一、六增（主攻增产）</w:t>
      </w:r>
    </w:p>
    <w:p w14:paraId="60A4545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87" w:firstLineChars="200"/>
        <w:textAlignment w:val="auto"/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pacing w:val="11"/>
          <w:sz w:val="32"/>
          <w:szCs w:val="32"/>
          <w:lang w:val="en-US" w:eastAsia="zh-CN"/>
        </w:rPr>
        <w:t>1.精选良种增潜力。</w:t>
      </w:r>
      <w:r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  <w:t>双季稻落实 “早专晚优”，早稻选用加工专用型品种，晚稻选用高档优质稻；按生态区匹配审定品种，兼顾高产、优质、抗逆（耐高温、抗病），规避缺陷品种风险。</w:t>
      </w:r>
    </w:p>
    <w:p w14:paraId="652A61D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87" w:firstLineChars="200"/>
        <w:textAlignment w:val="auto"/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pacing w:val="11"/>
          <w:sz w:val="32"/>
          <w:szCs w:val="32"/>
          <w:lang w:val="en-US" w:eastAsia="zh-CN"/>
        </w:rPr>
        <w:t>2.精量播种增壮苗。</w:t>
      </w:r>
      <w:r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  <w:t>主推集中育秧、工厂化育秧；适期播种，精量控种量，培育齐、匀、壮秧，降低倒春寒烂秧风险；机插、机抛配套适宜秧龄标准。</w:t>
      </w:r>
    </w:p>
    <w:p w14:paraId="43DFA02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87" w:firstLineChars="200"/>
        <w:textAlignment w:val="auto"/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pacing w:val="11"/>
          <w:sz w:val="32"/>
          <w:szCs w:val="32"/>
          <w:lang w:val="en-US" w:eastAsia="zh-CN"/>
        </w:rPr>
        <w:t>3.合理密植增苗数。</w:t>
      </w:r>
      <w:r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  <w:t>适度提高栽插密度，构建足穗稳健高产群体；机插/机抛落实基本苗，杜绝稀植大穗空穗。</w:t>
      </w:r>
    </w:p>
    <w:p w14:paraId="2B79805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87" w:firstLineChars="200"/>
        <w:textAlignment w:val="auto"/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pacing w:val="11"/>
          <w:sz w:val="32"/>
          <w:szCs w:val="32"/>
          <w:lang w:val="en-US" w:eastAsia="zh-CN"/>
        </w:rPr>
        <w:t>4.水肥耦合增粒数。</w:t>
      </w:r>
      <w:r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  <w:t>采用 “足量基肥、适量追肥、巧施穗肥” 施肥模式；测土配方施肥，结合水分管理，促大穗、增加每穗粒数；晒田控无效分蘖，协调群体与个体矛盾。</w:t>
      </w:r>
    </w:p>
    <w:p w14:paraId="74B39DF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87" w:firstLineChars="200"/>
        <w:textAlignment w:val="auto"/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pacing w:val="11"/>
          <w:sz w:val="32"/>
          <w:szCs w:val="32"/>
          <w:lang w:val="en-US" w:eastAsia="zh-CN"/>
        </w:rPr>
        <w:t>5.一喷多促增粒重。</w:t>
      </w:r>
      <w:r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  <w:t>孕穗‑灌浆期开展“一喷多促”，叶面肥+生长调节剂+杀虫杀菌剂混配喷施，防高温热害、防早衰，提升结实率与千粒重。</w:t>
      </w:r>
    </w:p>
    <w:p w14:paraId="6D19F00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87" w:firstLineChars="200"/>
        <w:textAlignment w:val="auto"/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pacing w:val="11"/>
          <w:sz w:val="32"/>
          <w:szCs w:val="32"/>
          <w:lang w:val="en-US" w:eastAsia="zh-CN"/>
        </w:rPr>
        <w:t>6.水旱轮作增地力。</w:t>
      </w:r>
      <w:r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  <w:t>推广稻‑稻‑油、稻‑稻‑肥、稻‑稻‑菜轮作；冬种绿肥，改良土壤有机质，缓解土壤酸化、连作障碍，培肥耕地基础生产力。</w:t>
      </w:r>
    </w:p>
    <w:p w14:paraId="36FB7E6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84" w:firstLineChars="200"/>
        <w:textAlignment w:val="auto"/>
        <w:rPr>
          <w:rFonts w:hint="eastAsia" w:ascii="方正黑体_GBK" w:hAnsi="方正黑体_GBK" w:eastAsia="方正黑体_GBK" w:cs="方正黑体_GBK"/>
          <w:spacing w:val="11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11"/>
          <w:sz w:val="32"/>
          <w:szCs w:val="32"/>
          <w:lang w:val="en-US" w:eastAsia="zh-CN"/>
        </w:rPr>
        <w:t>二、两控（减损保收）</w:t>
      </w:r>
    </w:p>
    <w:p w14:paraId="16D5A5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87" w:firstLineChars="200"/>
        <w:textAlignment w:val="auto"/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pacing w:val="11"/>
          <w:sz w:val="32"/>
          <w:szCs w:val="32"/>
          <w:lang w:val="en-US" w:eastAsia="zh-CN"/>
        </w:rPr>
        <w:t>1.绿色植保控病虫。</w:t>
      </w:r>
      <w:r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  <w:t>分类施策、分级治理；绿色防控 + 专业化统防统治协同，优先理化诱控、生物农药，科学化学防控，压低病虫草损失，重点防控稻飞虱、稻纵卷叶螟、纹枯病、稻瘟病、高温期穗期病害。</w:t>
      </w:r>
    </w:p>
    <w:p w14:paraId="2BA31D2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87" w:firstLineChars="200"/>
        <w:textAlignment w:val="auto"/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方正仿宋_GBK" w:cs="Times New Roman"/>
          <w:b/>
          <w:bCs/>
          <w:spacing w:val="11"/>
          <w:sz w:val="32"/>
          <w:szCs w:val="32"/>
          <w:lang w:val="en-US" w:eastAsia="zh-CN"/>
        </w:rPr>
        <w:t>2.机械收获控损耗。</w:t>
      </w:r>
      <w:r>
        <w:rPr>
          <w:rFonts w:hint="eastAsia" w:ascii="Times New Roman" w:hAnsi="Times New Roman" w:eastAsia="方正仿宋_GBK" w:cs="Times New Roman"/>
          <w:spacing w:val="11"/>
          <w:sz w:val="32"/>
          <w:szCs w:val="32"/>
          <w:lang w:val="en-US" w:eastAsia="zh-CN"/>
        </w:rPr>
        <w:t>选用低损收割机，调试机具割台、滚筒转速；把握最佳收获期，降低机收落粒、夹带损失，减少田间粮食损耗。</w:t>
      </w:r>
    </w:p>
    <w:p w14:paraId="1B0BC1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176BD22-1195-4E9B-AD78-0415768FF601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57410A48-8A92-4D49-AE47-95B270A1E02C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EE32B329-A2BD-4D80-A27A-8244185F4424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85F26CF6-7CE6-44B4-8928-E5C508D74D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F36ECD"/>
    <w:rsid w:val="74F3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2026-10-21T08:08:00Z</dcterms:created>
  <dc:creator>海大技术工程师刘波13132502261</dc:creator>
  <cp:lastModifiedBy>海大技术工程师刘波13132502261</cp:lastModifiedBy>
  <dcterms:modified xsi:type="dcterms:W3CDTF">2026-10-21T08:08:30Z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5CD1C9FB0888490CA63A77C668F2B50D_11</vt:lpwstr>
  </property>
  <property fmtid="{D5CDD505-2E9C-101B-9397-08002B2CF9AE}" pid="4" name="KSOTemplateDocerSaveRecord">
    <vt:lpwstr>eyJoZGlkIjoiZDYwNGY3NDRiYjNkMjA2NWQ5MzdjNjhmYTI1NjNlNjEiLCJ1c2VySWQiOiI1NTQ1ODg0NDkifQ==</vt:lpwstr>
  </property>
</Properties>
</file>